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BE5A" w14:textId="399EFA62" w:rsidR="004E4A0C" w:rsidRPr="009172B8" w:rsidRDefault="004E4A0C" w:rsidP="009172B8">
      <w:pPr>
        <w:pStyle w:val="Heading1"/>
        <w:rPr>
          <w:rFonts w:ascii="Verdana" w:hAnsi="Verdana"/>
          <w:b/>
          <w:bCs/>
          <w:sz w:val="28"/>
          <w:szCs w:val="28"/>
        </w:rPr>
      </w:pPr>
      <w:r w:rsidRPr="009172B8">
        <w:rPr>
          <w:rFonts w:ascii="Verdana" w:hAnsi="Verdana"/>
          <w:b/>
          <w:bCs/>
          <w:color w:val="auto"/>
          <w:sz w:val="28"/>
          <w:szCs w:val="28"/>
        </w:rPr>
        <w:t xml:space="preserve">Analysis of FY2019-2020 California ILC </w:t>
      </w:r>
      <w:r w:rsidR="00332E19" w:rsidRPr="009172B8">
        <w:rPr>
          <w:rFonts w:ascii="Verdana" w:hAnsi="Verdana"/>
          <w:b/>
          <w:bCs/>
          <w:color w:val="auto"/>
          <w:sz w:val="28"/>
          <w:szCs w:val="28"/>
        </w:rPr>
        <w:t>Program Performance Reports (PPR)</w:t>
      </w:r>
    </w:p>
    <w:p w14:paraId="51FEC0E6" w14:textId="6311655A" w:rsidR="00CC3968" w:rsidRDefault="004E4A0C" w:rsidP="00867E42">
      <w:pPr>
        <w:pStyle w:val="Heading1"/>
        <w:rPr>
          <w:rFonts w:ascii="Verdana" w:hAnsi="Verdana"/>
          <w:color w:val="auto"/>
          <w:sz w:val="28"/>
          <w:szCs w:val="28"/>
        </w:rPr>
      </w:pPr>
      <w:r w:rsidRPr="00CC3968">
        <w:rPr>
          <w:rFonts w:ascii="Verdana" w:hAnsi="Verdana"/>
          <w:color w:val="auto"/>
          <w:sz w:val="28"/>
          <w:szCs w:val="28"/>
        </w:rPr>
        <w:t xml:space="preserve">Goal: </w:t>
      </w:r>
      <w:r w:rsidR="00867E42" w:rsidRPr="00867E42">
        <w:rPr>
          <w:rFonts w:ascii="Verdana" w:hAnsi="Verdana"/>
          <w:color w:val="auto"/>
          <w:sz w:val="28"/>
          <w:szCs w:val="28"/>
        </w:rPr>
        <w:t>To determine whether 2017-2020 SPIL goals have been met and collect information useful to the SILC in planning the next State Plan for Independent Living (SPIL).</w:t>
      </w:r>
    </w:p>
    <w:p w14:paraId="2D6A159F" w14:textId="77777777" w:rsidR="00867E42" w:rsidRPr="00867E42" w:rsidRDefault="00867E42" w:rsidP="00867E42"/>
    <w:p w14:paraId="4DA89158" w14:textId="02864474" w:rsidR="00CC3968" w:rsidRPr="001E2184" w:rsidRDefault="00A54C98" w:rsidP="001E2184">
      <w:pPr>
        <w:pStyle w:val="Heading1"/>
        <w:spacing w:before="0"/>
        <w:rPr>
          <w:rFonts w:ascii="Verdana" w:hAnsi="Verdana"/>
          <w:color w:val="auto"/>
          <w:sz w:val="28"/>
          <w:szCs w:val="28"/>
        </w:rPr>
      </w:pPr>
      <w:r w:rsidRPr="00CC3968">
        <w:rPr>
          <w:rFonts w:ascii="Verdana" w:hAnsi="Verdana"/>
          <w:color w:val="auto"/>
          <w:sz w:val="28"/>
          <w:szCs w:val="28"/>
        </w:rPr>
        <w:t xml:space="preserve">This report covers the </w:t>
      </w:r>
      <w:r w:rsidR="001E5A21">
        <w:rPr>
          <w:rFonts w:ascii="Verdana" w:hAnsi="Verdana"/>
          <w:color w:val="auto"/>
          <w:sz w:val="28"/>
          <w:szCs w:val="28"/>
        </w:rPr>
        <w:t xml:space="preserve">federal fiscal year </w:t>
      </w:r>
      <w:r w:rsidRPr="00CC3968">
        <w:rPr>
          <w:rFonts w:ascii="Verdana" w:hAnsi="Verdana"/>
          <w:color w:val="auto"/>
          <w:sz w:val="28"/>
          <w:szCs w:val="28"/>
        </w:rPr>
        <w:t xml:space="preserve">period of </w:t>
      </w:r>
      <w:r w:rsidR="001E5A21">
        <w:rPr>
          <w:rFonts w:ascii="Verdana" w:hAnsi="Verdana"/>
          <w:color w:val="auto"/>
          <w:sz w:val="28"/>
          <w:szCs w:val="28"/>
        </w:rPr>
        <w:t>October 1</w:t>
      </w:r>
      <w:r w:rsidRPr="00CC3968">
        <w:rPr>
          <w:rFonts w:ascii="Verdana" w:hAnsi="Verdana"/>
          <w:color w:val="auto"/>
          <w:sz w:val="28"/>
          <w:szCs w:val="28"/>
        </w:rPr>
        <w:t xml:space="preserve">, 2019 through September </w:t>
      </w:r>
      <w:r w:rsidR="001E5A21">
        <w:rPr>
          <w:rFonts w:ascii="Verdana" w:hAnsi="Verdana"/>
          <w:color w:val="auto"/>
          <w:sz w:val="28"/>
          <w:szCs w:val="28"/>
        </w:rPr>
        <w:t>30</w:t>
      </w:r>
      <w:r w:rsidRPr="00CC3968">
        <w:rPr>
          <w:rFonts w:ascii="Verdana" w:hAnsi="Verdana"/>
          <w:color w:val="auto"/>
          <w:sz w:val="28"/>
          <w:szCs w:val="28"/>
        </w:rPr>
        <w:t xml:space="preserve">, 2020.  </w:t>
      </w:r>
    </w:p>
    <w:p w14:paraId="0675A23F" w14:textId="77777777" w:rsidR="000107E2" w:rsidRPr="001E2184" w:rsidRDefault="000107E2" w:rsidP="000107E2">
      <w:pPr>
        <w:pStyle w:val="Heading1"/>
        <w:rPr>
          <w:rFonts w:ascii="Verdana" w:hAnsi="Verdana"/>
          <w:b/>
          <w:bCs/>
          <w:color w:val="auto"/>
          <w:sz w:val="28"/>
          <w:szCs w:val="28"/>
        </w:rPr>
      </w:pPr>
      <w:r w:rsidRPr="001E2184">
        <w:rPr>
          <w:rFonts w:ascii="Verdana" w:hAnsi="Verdana"/>
          <w:b/>
          <w:bCs/>
          <w:color w:val="auto"/>
          <w:sz w:val="28"/>
          <w:szCs w:val="28"/>
        </w:rPr>
        <w:t>Background and Introduction</w:t>
      </w:r>
    </w:p>
    <w:p w14:paraId="3F712CFC" w14:textId="77777777" w:rsidR="000107E2" w:rsidRDefault="000107E2" w:rsidP="00CC3968">
      <w:pPr>
        <w:spacing w:after="0"/>
        <w:rPr>
          <w:rFonts w:ascii="Verdana" w:hAnsi="Verdana"/>
          <w:sz w:val="28"/>
          <w:szCs w:val="28"/>
        </w:rPr>
      </w:pPr>
    </w:p>
    <w:p w14:paraId="32A585FA" w14:textId="1187F830" w:rsidR="000107E2" w:rsidRDefault="000107E2" w:rsidP="00CC3968">
      <w:pPr>
        <w:spacing w:after="0"/>
        <w:rPr>
          <w:rFonts w:ascii="Verdana" w:hAnsi="Verdana"/>
          <w:sz w:val="28"/>
          <w:szCs w:val="28"/>
        </w:rPr>
      </w:pPr>
      <w:r w:rsidRPr="000107E2">
        <w:rPr>
          <w:rFonts w:ascii="Verdana" w:hAnsi="Verdana"/>
          <w:sz w:val="28"/>
          <w:szCs w:val="28"/>
        </w:rPr>
        <w:t>Independent Living Centers (ILCs) are consumer controlled, community based, cross disability (</w:t>
      </w:r>
      <w:r w:rsidR="00713E9F" w:rsidRPr="000107E2">
        <w:rPr>
          <w:rFonts w:ascii="Verdana" w:hAnsi="Verdana"/>
          <w:sz w:val="28"/>
          <w:szCs w:val="28"/>
        </w:rPr>
        <w:t>i.e.,</w:t>
      </w:r>
      <w:r w:rsidRPr="000107E2">
        <w:rPr>
          <w:rFonts w:ascii="Verdana" w:hAnsi="Verdana"/>
          <w:sz w:val="28"/>
          <w:szCs w:val="28"/>
        </w:rPr>
        <w:t xml:space="preserve"> any disability or multiple disabilities), nonresidential private nonprofit organizations designed by and for the local community and operated by a majority of individuals with disabilities. Services are provided to individuals of all ages. Independent living services are driven by the philosophy that people with disabilities have the same civil rights and control over choices in their own lives as people without disabilities. ILCs work to eliminate many of the attitudinal, physical, and communication barriers faced by people with disabilities as they work towards independence and full integration into their communities. Today there are 28 ILCs with 61 service locations throughout the state that offer Independent Living services to </w:t>
      </w:r>
      <w:r w:rsidR="00713E9F" w:rsidRPr="000107E2">
        <w:rPr>
          <w:rFonts w:ascii="Verdana" w:hAnsi="Verdana"/>
          <w:sz w:val="28"/>
          <w:szCs w:val="28"/>
        </w:rPr>
        <w:t>Californians</w:t>
      </w:r>
      <w:r w:rsidRPr="000107E2">
        <w:rPr>
          <w:rFonts w:ascii="Verdana" w:hAnsi="Verdana"/>
          <w:sz w:val="28"/>
          <w:szCs w:val="28"/>
        </w:rPr>
        <w:t xml:space="preserve"> with disabilities.</w:t>
      </w:r>
    </w:p>
    <w:p w14:paraId="3188D81D" w14:textId="77777777" w:rsidR="000107E2" w:rsidRPr="00CC3968" w:rsidRDefault="000107E2" w:rsidP="00CC3968">
      <w:pPr>
        <w:spacing w:after="0"/>
        <w:rPr>
          <w:rFonts w:ascii="Verdana" w:hAnsi="Verdana"/>
          <w:sz w:val="28"/>
          <w:szCs w:val="28"/>
        </w:rPr>
      </w:pPr>
    </w:p>
    <w:p w14:paraId="159DA9D8" w14:textId="6F95CBE4" w:rsidR="00CC3968" w:rsidRPr="00CC3968" w:rsidRDefault="00654BFD" w:rsidP="000107E2">
      <w:r w:rsidRPr="001A468E">
        <w:rPr>
          <w:rStyle w:val="Heading1Char"/>
          <w:rFonts w:ascii="Verdana" w:hAnsi="Verdana"/>
          <w:color w:val="auto"/>
          <w:sz w:val="28"/>
          <w:szCs w:val="28"/>
        </w:rPr>
        <w:t>Twenty</w:t>
      </w:r>
      <w:r w:rsidR="0043721E" w:rsidRPr="001A468E">
        <w:rPr>
          <w:rStyle w:val="Heading1Char"/>
          <w:rFonts w:ascii="Verdana" w:hAnsi="Verdana"/>
          <w:color w:val="auto"/>
          <w:sz w:val="28"/>
          <w:szCs w:val="28"/>
        </w:rPr>
        <w:t xml:space="preserve"> (2</w:t>
      </w:r>
      <w:r w:rsidR="001A468E" w:rsidRPr="001A468E">
        <w:rPr>
          <w:rStyle w:val="Heading1Char"/>
          <w:rFonts w:ascii="Verdana" w:hAnsi="Verdana"/>
          <w:color w:val="auto"/>
          <w:sz w:val="28"/>
          <w:szCs w:val="28"/>
        </w:rPr>
        <w:t>0</w:t>
      </w:r>
      <w:r w:rsidR="004E4A0C" w:rsidRPr="001A468E">
        <w:rPr>
          <w:rStyle w:val="Heading1Char"/>
          <w:rFonts w:ascii="Verdana" w:hAnsi="Verdana"/>
          <w:color w:val="auto"/>
          <w:sz w:val="28"/>
          <w:szCs w:val="28"/>
        </w:rPr>
        <w:t xml:space="preserve">) </w:t>
      </w:r>
      <w:r w:rsidR="00E25FA0">
        <w:rPr>
          <w:rStyle w:val="Heading1Char"/>
          <w:rFonts w:ascii="Verdana" w:hAnsi="Verdana"/>
          <w:color w:val="auto"/>
          <w:sz w:val="28"/>
          <w:szCs w:val="28"/>
        </w:rPr>
        <w:t>ILCs</w:t>
      </w:r>
      <w:r w:rsidR="004E4A0C" w:rsidRPr="001A468E">
        <w:rPr>
          <w:rStyle w:val="Heading1Char"/>
          <w:rFonts w:ascii="Verdana" w:hAnsi="Verdana"/>
          <w:color w:val="auto"/>
          <w:sz w:val="28"/>
          <w:szCs w:val="28"/>
        </w:rPr>
        <w:t xml:space="preserve">, </w:t>
      </w:r>
      <w:r w:rsidRPr="001A468E">
        <w:rPr>
          <w:rStyle w:val="Heading1Char"/>
          <w:rFonts w:ascii="Verdana" w:hAnsi="Verdana"/>
          <w:color w:val="auto"/>
          <w:sz w:val="28"/>
          <w:szCs w:val="28"/>
        </w:rPr>
        <w:t>or approximately</w:t>
      </w:r>
      <w:r w:rsidR="003A2B54" w:rsidRPr="001A468E">
        <w:rPr>
          <w:rStyle w:val="Heading1Char"/>
          <w:rFonts w:ascii="Verdana" w:hAnsi="Verdana"/>
          <w:color w:val="auto"/>
          <w:sz w:val="28"/>
          <w:szCs w:val="28"/>
        </w:rPr>
        <w:t xml:space="preserve"> </w:t>
      </w:r>
      <w:r w:rsidR="0043721E" w:rsidRPr="001A468E">
        <w:rPr>
          <w:rStyle w:val="Heading1Char"/>
          <w:rFonts w:ascii="Verdana" w:hAnsi="Verdana"/>
          <w:color w:val="auto"/>
          <w:sz w:val="28"/>
          <w:szCs w:val="28"/>
        </w:rPr>
        <w:t>7</w:t>
      </w:r>
      <w:r w:rsidR="001A468E" w:rsidRPr="001A468E">
        <w:rPr>
          <w:rStyle w:val="Heading1Char"/>
          <w:rFonts w:ascii="Verdana" w:hAnsi="Verdana"/>
          <w:color w:val="auto"/>
          <w:sz w:val="28"/>
          <w:szCs w:val="28"/>
        </w:rPr>
        <w:t>1</w:t>
      </w:r>
      <w:r w:rsidR="004E4A0C" w:rsidRPr="001A468E">
        <w:rPr>
          <w:rStyle w:val="Heading1Char"/>
          <w:rFonts w:ascii="Verdana" w:hAnsi="Verdana"/>
          <w:color w:val="auto"/>
          <w:sz w:val="28"/>
          <w:szCs w:val="28"/>
        </w:rPr>
        <w:t>%,</w:t>
      </w:r>
      <w:r w:rsidR="004E4A0C" w:rsidRPr="00CC3968">
        <w:rPr>
          <w:rStyle w:val="Heading1Char"/>
          <w:rFonts w:ascii="Verdana" w:hAnsi="Verdana"/>
          <w:color w:val="auto"/>
          <w:sz w:val="28"/>
          <w:szCs w:val="28"/>
        </w:rPr>
        <w:t xml:space="preserve"> submitted </w:t>
      </w:r>
      <w:r w:rsidR="00332E19" w:rsidRPr="00CC3968">
        <w:rPr>
          <w:rStyle w:val="Heading1Char"/>
          <w:rFonts w:ascii="Verdana" w:hAnsi="Verdana"/>
          <w:color w:val="auto"/>
          <w:sz w:val="28"/>
          <w:szCs w:val="28"/>
        </w:rPr>
        <w:t>Program Performance Report (PPR) data to the SILC</w:t>
      </w:r>
      <w:r w:rsidR="004E4A0C" w:rsidRPr="001E2184">
        <w:rPr>
          <w:rStyle w:val="Heading1Char"/>
          <w:rFonts w:ascii="Verdana" w:hAnsi="Verdana"/>
          <w:color w:val="auto"/>
          <w:sz w:val="28"/>
          <w:szCs w:val="28"/>
        </w:rPr>
        <w:t>.</w:t>
      </w:r>
      <w:r w:rsidR="004E4A0C" w:rsidRPr="001E2184">
        <w:rPr>
          <w:rFonts w:ascii="Verdana" w:hAnsi="Verdana"/>
          <w:sz w:val="28"/>
          <w:szCs w:val="28"/>
        </w:rPr>
        <w:t xml:space="preserve"> </w:t>
      </w:r>
      <w:r w:rsidR="00370EDD" w:rsidRPr="001E2184">
        <w:rPr>
          <w:rFonts w:ascii="Verdana" w:hAnsi="Verdana"/>
          <w:sz w:val="28"/>
          <w:szCs w:val="28"/>
        </w:rPr>
        <w:t>This analysis does not include information for 8 ILCs, which could significantly impact the numbers reported below.</w:t>
      </w:r>
    </w:p>
    <w:p w14:paraId="0A829C94" w14:textId="77777777" w:rsidR="00CC3968" w:rsidRPr="00CC3968" w:rsidRDefault="00CC3968" w:rsidP="00CC3968">
      <w:pPr>
        <w:spacing w:after="0"/>
        <w:rPr>
          <w:rFonts w:ascii="Verdana" w:hAnsi="Verdana"/>
          <w:sz w:val="28"/>
          <w:szCs w:val="28"/>
        </w:rPr>
      </w:pPr>
    </w:p>
    <w:p w14:paraId="726312EB" w14:textId="20DACB97" w:rsidR="004E4A0C" w:rsidRPr="00CC3968" w:rsidRDefault="004E4A0C" w:rsidP="00CC3968">
      <w:pPr>
        <w:spacing w:after="0"/>
        <w:rPr>
          <w:rFonts w:ascii="Verdana" w:hAnsi="Verdana"/>
          <w:sz w:val="28"/>
          <w:szCs w:val="28"/>
        </w:rPr>
      </w:pPr>
      <w:r w:rsidRPr="00845845">
        <w:rPr>
          <w:rStyle w:val="Heading1Char"/>
          <w:rFonts w:ascii="Verdana" w:hAnsi="Verdana"/>
          <w:color w:val="auto"/>
          <w:sz w:val="28"/>
          <w:szCs w:val="28"/>
        </w:rPr>
        <w:t>Data collection and submission was complicated due to the Coronavirus-19 Pandemic.</w:t>
      </w:r>
      <w:r w:rsidR="004C4FF8" w:rsidRPr="00845845">
        <w:rPr>
          <w:rFonts w:ascii="Verdana" w:hAnsi="Verdana"/>
          <w:sz w:val="28"/>
          <w:szCs w:val="28"/>
        </w:rPr>
        <w:t xml:space="preserve"> </w:t>
      </w:r>
      <w:r w:rsidR="00332E19" w:rsidRPr="00CC3968">
        <w:rPr>
          <w:rFonts w:ascii="Verdana" w:hAnsi="Verdana"/>
          <w:sz w:val="28"/>
          <w:szCs w:val="28"/>
        </w:rPr>
        <w:t xml:space="preserve">While the PPR report was due on </w:t>
      </w:r>
      <w:r w:rsidR="001E5A21">
        <w:rPr>
          <w:rFonts w:ascii="Verdana" w:hAnsi="Verdana"/>
          <w:sz w:val="28"/>
          <w:szCs w:val="28"/>
        </w:rPr>
        <w:lastRenderedPageBreak/>
        <w:t>December 30, 2020</w:t>
      </w:r>
      <w:r w:rsidR="00332E19" w:rsidRPr="00CC3968">
        <w:rPr>
          <w:rFonts w:ascii="Verdana" w:hAnsi="Verdana"/>
          <w:sz w:val="28"/>
          <w:szCs w:val="28"/>
        </w:rPr>
        <w:t xml:space="preserve"> for the previous year, the </w:t>
      </w:r>
      <w:r w:rsidR="00A54C98" w:rsidRPr="00CC3968">
        <w:rPr>
          <w:rFonts w:ascii="Verdana" w:hAnsi="Verdana"/>
          <w:sz w:val="28"/>
          <w:szCs w:val="28"/>
        </w:rPr>
        <w:t>ACL</w:t>
      </w:r>
      <w:r w:rsidR="00332E19" w:rsidRPr="00CC3968">
        <w:rPr>
          <w:rFonts w:ascii="Verdana" w:hAnsi="Verdana"/>
          <w:sz w:val="28"/>
          <w:szCs w:val="28"/>
        </w:rPr>
        <w:t xml:space="preserve"> does not yet have a mechanism for the reports to be officially submitted. ILCs have been asked to complete their reports by the due date so that when ACL is ready, they can easily </w:t>
      </w:r>
      <w:r w:rsidR="00867E42">
        <w:rPr>
          <w:rFonts w:ascii="Verdana" w:hAnsi="Verdana"/>
          <w:sz w:val="28"/>
          <w:szCs w:val="28"/>
        </w:rPr>
        <w:t>upload</w:t>
      </w:r>
      <w:r w:rsidR="00332E19" w:rsidRPr="00CC3968">
        <w:rPr>
          <w:rFonts w:ascii="Verdana" w:hAnsi="Verdana"/>
          <w:sz w:val="28"/>
          <w:szCs w:val="28"/>
        </w:rPr>
        <w:t xml:space="preserve"> their data</w:t>
      </w:r>
      <w:r w:rsidR="001E5A21">
        <w:rPr>
          <w:rFonts w:ascii="Verdana" w:hAnsi="Verdana"/>
          <w:sz w:val="28"/>
          <w:szCs w:val="28"/>
        </w:rPr>
        <w:t xml:space="preserve"> in a timely manner</w:t>
      </w:r>
      <w:r w:rsidR="00332E19" w:rsidRPr="00CC3968">
        <w:rPr>
          <w:rFonts w:ascii="Verdana" w:hAnsi="Verdana"/>
          <w:sz w:val="28"/>
          <w:szCs w:val="28"/>
        </w:rPr>
        <w:t xml:space="preserve"> into the new system.</w:t>
      </w:r>
    </w:p>
    <w:p w14:paraId="3266B070" w14:textId="77777777" w:rsidR="00CC3968" w:rsidRPr="00CC3968" w:rsidRDefault="00CC3968" w:rsidP="00CC3968">
      <w:pPr>
        <w:spacing w:after="0"/>
        <w:rPr>
          <w:rFonts w:ascii="Verdana" w:hAnsi="Verdana"/>
          <w:sz w:val="28"/>
          <w:szCs w:val="28"/>
        </w:rPr>
      </w:pPr>
    </w:p>
    <w:p w14:paraId="03EF7FB3" w14:textId="5F707378" w:rsidR="00332E19" w:rsidRDefault="00654BFD" w:rsidP="00332E19">
      <w:pPr>
        <w:rPr>
          <w:rFonts w:ascii="Verdana" w:hAnsi="Verdana"/>
          <w:sz w:val="28"/>
          <w:szCs w:val="28"/>
        </w:rPr>
      </w:pPr>
      <w:r w:rsidRPr="00CC3968">
        <w:rPr>
          <w:rFonts w:ascii="Verdana" w:hAnsi="Verdana"/>
          <w:sz w:val="28"/>
          <w:szCs w:val="28"/>
        </w:rPr>
        <w:t>Typically,</w:t>
      </w:r>
      <w:r w:rsidR="00332E19" w:rsidRPr="00CC3968">
        <w:rPr>
          <w:rFonts w:ascii="Verdana" w:hAnsi="Verdana"/>
          <w:sz w:val="28"/>
          <w:szCs w:val="28"/>
        </w:rPr>
        <w:t xml:space="preserve"> the ILCs submit PPR reports directly to the ACL with a copy going to the SILC, per language in the Rehabilitation Act.  ILCs complete a separate PPR report for each Title VII Part C grant that they have. While some ILCs only have one (1) VIIC grant, others have multiple grants.</w:t>
      </w:r>
      <w:r w:rsidR="0043721E" w:rsidRPr="00CC3968">
        <w:rPr>
          <w:rFonts w:ascii="Verdana" w:hAnsi="Verdana"/>
          <w:sz w:val="28"/>
          <w:szCs w:val="28"/>
        </w:rPr>
        <w:t xml:space="preserve"> </w:t>
      </w:r>
      <w:r w:rsidR="00CC3968" w:rsidRPr="00CC3968">
        <w:rPr>
          <w:rFonts w:ascii="Verdana" w:hAnsi="Verdana"/>
          <w:sz w:val="28"/>
          <w:szCs w:val="28"/>
        </w:rPr>
        <w:t xml:space="preserve">This year, ILCs were allocated additional funds through the CARES Act in response to the Coronavirus-19 Pandemic, and were asked to complete a separate PPR report to account for those dollars spent. </w:t>
      </w:r>
      <w:r w:rsidR="003A2B54" w:rsidRPr="00CC3968">
        <w:rPr>
          <w:rFonts w:ascii="Verdana" w:hAnsi="Verdana"/>
          <w:sz w:val="28"/>
          <w:szCs w:val="28"/>
        </w:rPr>
        <w:t xml:space="preserve">In many cases the </w:t>
      </w:r>
      <w:r w:rsidR="0043721E" w:rsidRPr="00CC3968">
        <w:rPr>
          <w:rFonts w:ascii="Verdana" w:hAnsi="Verdana"/>
          <w:sz w:val="28"/>
          <w:szCs w:val="28"/>
        </w:rPr>
        <w:t>ILCs also shared these reports as they help to give us a more complete picture of how funding is being used in the state per the State Plan for Independent Living (SPIL).</w:t>
      </w:r>
      <w:r w:rsidR="000814AB">
        <w:rPr>
          <w:rFonts w:ascii="Verdana" w:hAnsi="Verdana"/>
          <w:sz w:val="28"/>
          <w:szCs w:val="28"/>
        </w:rPr>
        <w:t xml:space="preserve"> CARES Act PPRs will be reviewed separately</w:t>
      </w:r>
      <w:r w:rsidR="00867E42">
        <w:rPr>
          <w:rFonts w:ascii="Verdana" w:hAnsi="Verdana"/>
          <w:sz w:val="28"/>
          <w:szCs w:val="28"/>
        </w:rPr>
        <w:t xml:space="preserve"> and data from those reports is not included in this analysis</w:t>
      </w:r>
      <w:r w:rsidR="000814AB">
        <w:rPr>
          <w:rFonts w:ascii="Verdana" w:hAnsi="Verdana"/>
          <w:sz w:val="28"/>
          <w:szCs w:val="28"/>
        </w:rPr>
        <w:t>.</w:t>
      </w:r>
    </w:p>
    <w:p w14:paraId="0B29012D" w14:textId="63C4DB93" w:rsidR="0043721E" w:rsidRDefault="0011068A" w:rsidP="00CC3968">
      <w:pPr>
        <w:pStyle w:val="Heading1"/>
        <w:rPr>
          <w:rFonts w:ascii="Verdana" w:hAnsi="Verdana"/>
          <w:color w:val="auto"/>
          <w:sz w:val="28"/>
          <w:szCs w:val="28"/>
        </w:rPr>
      </w:pPr>
      <w:r w:rsidRPr="001E2184">
        <w:rPr>
          <w:rFonts w:ascii="Verdana" w:hAnsi="Verdana"/>
          <w:b/>
          <w:bCs/>
          <w:color w:val="auto"/>
          <w:sz w:val="28"/>
          <w:szCs w:val="28"/>
        </w:rPr>
        <w:t>Key highlights, services, activities, and achievements during FY2019 include</w:t>
      </w:r>
      <w:r w:rsidRPr="00CC3968">
        <w:rPr>
          <w:rFonts w:ascii="Verdana" w:hAnsi="Verdana"/>
          <w:color w:val="auto"/>
          <w:sz w:val="28"/>
          <w:szCs w:val="28"/>
        </w:rPr>
        <w:t>:</w:t>
      </w:r>
    </w:p>
    <w:p w14:paraId="12288094" w14:textId="77777777" w:rsidR="001E2184" w:rsidRPr="001E2184" w:rsidRDefault="001E2184" w:rsidP="001E2184"/>
    <w:p w14:paraId="082A2F65" w14:textId="61C46C2F" w:rsidR="00867E42" w:rsidRDefault="00A04930" w:rsidP="001E2184">
      <w:pPr>
        <w:pStyle w:val="ListParagraph"/>
        <w:numPr>
          <w:ilvl w:val="0"/>
          <w:numId w:val="1"/>
        </w:numPr>
        <w:spacing w:after="0" w:line="240" w:lineRule="auto"/>
        <w:rPr>
          <w:rFonts w:ascii="Verdana" w:hAnsi="Verdana"/>
          <w:sz w:val="28"/>
          <w:szCs w:val="28"/>
        </w:rPr>
      </w:pPr>
      <w:r>
        <w:rPr>
          <w:rFonts w:ascii="Verdana" w:hAnsi="Verdana"/>
          <w:sz w:val="28"/>
          <w:szCs w:val="28"/>
        </w:rPr>
        <w:t xml:space="preserve">California ILCs report providing services to </w:t>
      </w:r>
      <w:r w:rsidR="00AE1A54">
        <w:rPr>
          <w:rFonts w:ascii="Verdana" w:hAnsi="Verdana"/>
          <w:sz w:val="28"/>
          <w:szCs w:val="28"/>
        </w:rPr>
        <w:t>19,737</w:t>
      </w:r>
      <w:r>
        <w:rPr>
          <w:rFonts w:ascii="Verdana" w:hAnsi="Verdana"/>
          <w:sz w:val="28"/>
          <w:szCs w:val="28"/>
        </w:rPr>
        <w:t xml:space="preserve"> unduplicated consumers.</w:t>
      </w:r>
    </w:p>
    <w:p w14:paraId="47773F69" w14:textId="77777777" w:rsidR="00867E42" w:rsidRPr="00867E42" w:rsidRDefault="00867E42" w:rsidP="001E2184">
      <w:pPr>
        <w:pStyle w:val="ListParagraph"/>
        <w:spacing w:after="0" w:line="240" w:lineRule="auto"/>
        <w:rPr>
          <w:rFonts w:ascii="Verdana" w:hAnsi="Verdana"/>
          <w:sz w:val="28"/>
          <w:szCs w:val="28"/>
        </w:rPr>
      </w:pPr>
    </w:p>
    <w:p w14:paraId="616A8778" w14:textId="2F5A7C48" w:rsidR="001E2184" w:rsidRDefault="0011068A" w:rsidP="001E2184">
      <w:pPr>
        <w:pStyle w:val="ListParagraph"/>
        <w:numPr>
          <w:ilvl w:val="0"/>
          <w:numId w:val="1"/>
        </w:numPr>
        <w:spacing w:after="0" w:line="240" w:lineRule="auto"/>
        <w:rPr>
          <w:rFonts w:ascii="Verdana" w:hAnsi="Verdana"/>
          <w:sz w:val="28"/>
          <w:szCs w:val="28"/>
        </w:rPr>
      </w:pPr>
      <w:r w:rsidRPr="00CC3968">
        <w:rPr>
          <w:rFonts w:ascii="Verdana" w:hAnsi="Verdana"/>
          <w:sz w:val="28"/>
          <w:szCs w:val="28"/>
        </w:rPr>
        <w:t xml:space="preserve">California consumers successfully accomplished </w:t>
      </w:r>
      <w:r w:rsidR="00A04930">
        <w:rPr>
          <w:rFonts w:ascii="Verdana" w:hAnsi="Verdana"/>
          <w:sz w:val="28"/>
          <w:szCs w:val="28"/>
        </w:rPr>
        <w:t>39,741</w:t>
      </w:r>
      <w:r w:rsidRPr="00CC3968">
        <w:rPr>
          <w:rFonts w:ascii="Verdana" w:hAnsi="Verdana"/>
          <w:sz w:val="28"/>
          <w:szCs w:val="28"/>
        </w:rPr>
        <w:t xml:space="preserve"> </w:t>
      </w:r>
      <w:r w:rsidRPr="00A04930">
        <w:rPr>
          <w:rFonts w:ascii="Verdana" w:hAnsi="Verdana"/>
          <w:sz w:val="28"/>
          <w:szCs w:val="28"/>
        </w:rPr>
        <w:t>established goals; each individual goal increasing independence, integration</w:t>
      </w:r>
      <w:r w:rsidR="001E5A21">
        <w:rPr>
          <w:rFonts w:ascii="Verdana" w:hAnsi="Verdana"/>
          <w:sz w:val="28"/>
          <w:szCs w:val="28"/>
        </w:rPr>
        <w:t>,</w:t>
      </w:r>
      <w:r w:rsidRPr="00A04930">
        <w:rPr>
          <w:rFonts w:ascii="Verdana" w:hAnsi="Verdana"/>
          <w:sz w:val="28"/>
          <w:szCs w:val="28"/>
        </w:rPr>
        <w:t xml:space="preserve"> and full inclusion in society</w:t>
      </w:r>
      <w:r w:rsidR="00867E42">
        <w:rPr>
          <w:rFonts w:ascii="Verdana" w:hAnsi="Verdana"/>
          <w:sz w:val="28"/>
          <w:szCs w:val="28"/>
        </w:rPr>
        <w:t>.</w:t>
      </w:r>
    </w:p>
    <w:p w14:paraId="06F8D620" w14:textId="77777777" w:rsidR="001E2184" w:rsidRDefault="001E2184" w:rsidP="001E2184">
      <w:pPr>
        <w:pStyle w:val="NormalWeb"/>
        <w:spacing w:before="0" w:beforeAutospacing="0" w:after="0" w:afterAutospacing="0"/>
        <w:ind w:left="720"/>
        <w:rPr>
          <w:rFonts w:ascii="Verdana" w:hAnsi="Verdana"/>
          <w:sz w:val="28"/>
          <w:szCs w:val="28"/>
        </w:rPr>
      </w:pPr>
    </w:p>
    <w:p w14:paraId="5EF3F978" w14:textId="77777777" w:rsidR="00C6491C" w:rsidRDefault="001E2184" w:rsidP="001E2184">
      <w:pPr>
        <w:pStyle w:val="NormalWeb"/>
        <w:numPr>
          <w:ilvl w:val="0"/>
          <w:numId w:val="1"/>
        </w:numPr>
        <w:spacing w:before="0" w:beforeAutospacing="0" w:after="0" w:afterAutospacing="0"/>
        <w:rPr>
          <w:rFonts w:ascii="Verdana" w:hAnsi="Verdana"/>
          <w:sz w:val="28"/>
          <w:szCs w:val="28"/>
        </w:rPr>
      </w:pPr>
      <w:r w:rsidRPr="001E2184">
        <w:rPr>
          <w:rFonts w:ascii="Verdana" w:hAnsi="Verdana"/>
          <w:sz w:val="28"/>
          <w:szCs w:val="28"/>
        </w:rPr>
        <w:t xml:space="preserve">The total state and federal funds awarded which support the provision of these services was $13,203,000. </w:t>
      </w:r>
    </w:p>
    <w:p w14:paraId="24A65473" w14:textId="77777777" w:rsidR="001E2184" w:rsidRDefault="001E2184" w:rsidP="00206E7E">
      <w:pPr>
        <w:spacing w:line="240" w:lineRule="auto"/>
      </w:pPr>
    </w:p>
    <w:p w14:paraId="53917AE3" w14:textId="77777777" w:rsidR="00867E42" w:rsidRPr="00867E42" w:rsidRDefault="0011068A" w:rsidP="001E2184">
      <w:pPr>
        <w:pStyle w:val="ListParagraph"/>
        <w:numPr>
          <w:ilvl w:val="0"/>
          <w:numId w:val="1"/>
        </w:numPr>
        <w:spacing w:after="0" w:line="240" w:lineRule="auto"/>
        <w:rPr>
          <w:sz w:val="28"/>
          <w:szCs w:val="28"/>
        </w:rPr>
      </w:pPr>
      <w:r w:rsidRPr="00867E42">
        <w:rPr>
          <w:rFonts w:ascii="Verdana" w:hAnsi="Verdana"/>
          <w:sz w:val="28"/>
          <w:szCs w:val="28"/>
        </w:rPr>
        <w:t>California ILCs generated an additional $</w:t>
      </w:r>
      <w:r w:rsidR="00A04930" w:rsidRPr="00867E42">
        <w:rPr>
          <w:rFonts w:ascii="Verdana" w:hAnsi="Verdana"/>
          <w:sz w:val="28"/>
          <w:szCs w:val="28"/>
        </w:rPr>
        <w:t>7,212,107</w:t>
      </w:r>
      <w:r w:rsidRPr="00867E42">
        <w:rPr>
          <w:rFonts w:ascii="Verdana" w:hAnsi="Verdana"/>
          <w:sz w:val="28"/>
          <w:szCs w:val="28"/>
        </w:rPr>
        <w:t xml:space="preserve"> (</w:t>
      </w:r>
      <w:r w:rsidR="00A04930" w:rsidRPr="00867E42">
        <w:rPr>
          <w:rFonts w:ascii="Verdana" w:hAnsi="Verdana"/>
          <w:sz w:val="28"/>
          <w:szCs w:val="28"/>
        </w:rPr>
        <w:t>private resources</w:t>
      </w:r>
      <w:r w:rsidRPr="00867E42">
        <w:rPr>
          <w:rFonts w:ascii="Verdana" w:hAnsi="Verdana"/>
          <w:sz w:val="28"/>
          <w:szCs w:val="28"/>
        </w:rPr>
        <w:t>) to expand their services.</w:t>
      </w:r>
    </w:p>
    <w:p w14:paraId="0F2426A4" w14:textId="77777777" w:rsidR="00867E42" w:rsidRPr="00867E42" w:rsidRDefault="00867E42" w:rsidP="001E2184">
      <w:pPr>
        <w:pStyle w:val="ListParagraph"/>
        <w:spacing w:line="240" w:lineRule="auto"/>
        <w:rPr>
          <w:rFonts w:ascii="Verdana" w:hAnsi="Verdana"/>
          <w:sz w:val="28"/>
          <w:szCs w:val="28"/>
        </w:rPr>
      </w:pPr>
    </w:p>
    <w:p w14:paraId="635AB011" w14:textId="4229AAFD" w:rsidR="000D3D4F" w:rsidRPr="00867E42" w:rsidRDefault="00654BFD" w:rsidP="001E2184">
      <w:pPr>
        <w:pStyle w:val="ListParagraph"/>
        <w:numPr>
          <w:ilvl w:val="0"/>
          <w:numId w:val="1"/>
        </w:numPr>
        <w:spacing w:after="0" w:line="240" w:lineRule="auto"/>
        <w:rPr>
          <w:sz w:val="28"/>
          <w:szCs w:val="28"/>
        </w:rPr>
      </w:pPr>
      <w:r w:rsidRPr="00867E42">
        <w:rPr>
          <w:rFonts w:ascii="Verdana" w:hAnsi="Verdana"/>
          <w:sz w:val="28"/>
          <w:szCs w:val="28"/>
        </w:rPr>
        <w:lastRenderedPageBreak/>
        <w:t xml:space="preserve">The </w:t>
      </w:r>
      <w:r w:rsidR="000D3D4F" w:rsidRPr="00867E42">
        <w:rPr>
          <w:rFonts w:ascii="Verdana" w:hAnsi="Verdana"/>
          <w:sz w:val="28"/>
          <w:szCs w:val="28"/>
        </w:rPr>
        <w:t xml:space="preserve">most requested </w:t>
      </w:r>
      <w:r w:rsidR="006776D8" w:rsidRPr="00867E42">
        <w:rPr>
          <w:rFonts w:ascii="Verdana" w:hAnsi="Verdana"/>
          <w:sz w:val="28"/>
          <w:szCs w:val="28"/>
        </w:rPr>
        <w:t xml:space="preserve">ILC </w:t>
      </w:r>
      <w:r w:rsidR="00306363" w:rsidRPr="00867E42">
        <w:rPr>
          <w:rFonts w:ascii="Verdana" w:hAnsi="Verdana"/>
          <w:sz w:val="28"/>
          <w:szCs w:val="28"/>
        </w:rPr>
        <w:t>services</w:t>
      </w:r>
      <w:r w:rsidR="006776D8" w:rsidRPr="00867E42">
        <w:rPr>
          <w:rFonts w:ascii="Verdana" w:hAnsi="Verdana"/>
          <w:sz w:val="28"/>
          <w:szCs w:val="28"/>
        </w:rPr>
        <w:t>:</w:t>
      </w:r>
    </w:p>
    <w:p w14:paraId="6FD7978E" w14:textId="6810BB24" w:rsidR="000D3D4F" w:rsidRPr="00DA2B08" w:rsidRDefault="00855E65" w:rsidP="001E2184">
      <w:pPr>
        <w:pStyle w:val="ListParagraph"/>
        <w:numPr>
          <w:ilvl w:val="1"/>
          <w:numId w:val="1"/>
        </w:numPr>
        <w:spacing w:line="240" w:lineRule="auto"/>
        <w:rPr>
          <w:sz w:val="28"/>
          <w:szCs w:val="28"/>
        </w:rPr>
      </w:pPr>
      <w:r w:rsidRPr="00DA2B08">
        <w:rPr>
          <w:rFonts w:ascii="Verdana" w:hAnsi="Verdana"/>
          <w:sz w:val="28"/>
          <w:szCs w:val="28"/>
        </w:rPr>
        <w:t>Information and Referral;</w:t>
      </w:r>
    </w:p>
    <w:p w14:paraId="3DB6A5DE" w14:textId="1E84C741" w:rsidR="000D3D4F" w:rsidRPr="00DA2B08" w:rsidRDefault="00855E65" w:rsidP="001E2184">
      <w:pPr>
        <w:pStyle w:val="ListParagraph"/>
        <w:numPr>
          <w:ilvl w:val="1"/>
          <w:numId w:val="1"/>
        </w:numPr>
        <w:spacing w:line="240" w:lineRule="auto"/>
        <w:rPr>
          <w:sz w:val="28"/>
          <w:szCs w:val="28"/>
        </w:rPr>
      </w:pPr>
      <w:r w:rsidRPr="00DA2B08">
        <w:rPr>
          <w:rFonts w:ascii="Verdana" w:hAnsi="Verdana"/>
          <w:sz w:val="28"/>
          <w:szCs w:val="28"/>
        </w:rPr>
        <w:t>Independent Living Skills;</w:t>
      </w:r>
    </w:p>
    <w:p w14:paraId="50EAA870" w14:textId="78F75151" w:rsidR="000D3D4F" w:rsidRPr="00DA2B08" w:rsidRDefault="00855E65" w:rsidP="001E2184">
      <w:pPr>
        <w:pStyle w:val="ListParagraph"/>
        <w:numPr>
          <w:ilvl w:val="1"/>
          <w:numId w:val="1"/>
        </w:numPr>
        <w:spacing w:line="240" w:lineRule="auto"/>
        <w:rPr>
          <w:sz w:val="28"/>
          <w:szCs w:val="28"/>
        </w:rPr>
      </w:pPr>
      <w:r w:rsidRPr="00DA2B08">
        <w:rPr>
          <w:rFonts w:ascii="Verdana" w:hAnsi="Verdana"/>
          <w:sz w:val="28"/>
          <w:szCs w:val="28"/>
        </w:rPr>
        <w:t>Advocacy and Legal Services;</w:t>
      </w:r>
    </w:p>
    <w:p w14:paraId="68725357" w14:textId="0E8BEC5F" w:rsidR="00DA2B08" w:rsidRPr="00DA2B08" w:rsidRDefault="00855E65" w:rsidP="001E2184">
      <w:pPr>
        <w:pStyle w:val="ListParagraph"/>
        <w:numPr>
          <w:ilvl w:val="1"/>
          <w:numId w:val="1"/>
        </w:numPr>
        <w:spacing w:line="240" w:lineRule="auto"/>
        <w:rPr>
          <w:sz w:val="28"/>
          <w:szCs w:val="28"/>
        </w:rPr>
      </w:pPr>
      <w:r w:rsidRPr="00DA2B08">
        <w:rPr>
          <w:rFonts w:ascii="Verdana" w:hAnsi="Verdana"/>
          <w:sz w:val="28"/>
          <w:szCs w:val="28"/>
        </w:rPr>
        <w:t xml:space="preserve">Peer Counseling; </w:t>
      </w:r>
    </w:p>
    <w:p w14:paraId="28F7B222" w14:textId="7CB79797" w:rsidR="00DA2B08" w:rsidRPr="00DA2B08" w:rsidRDefault="00DA2B08" w:rsidP="001E2184">
      <w:pPr>
        <w:pStyle w:val="ListParagraph"/>
        <w:numPr>
          <w:ilvl w:val="1"/>
          <w:numId w:val="1"/>
        </w:numPr>
        <w:spacing w:line="240" w:lineRule="auto"/>
        <w:rPr>
          <w:sz w:val="28"/>
          <w:szCs w:val="28"/>
        </w:rPr>
      </w:pPr>
      <w:r w:rsidRPr="00DA2B08">
        <w:rPr>
          <w:rFonts w:ascii="Verdana" w:hAnsi="Verdana"/>
          <w:sz w:val="28"/>
          <w:szCs w:val="28"/>
        </w:rPr>
        <w:t>Housing;</w:t>
      </w:r>
    </w:p>
    <w:p w14:paraId="2A3F7458" w14:textId="619EF519" w:rsidR="00DA2B08" w:rsidRPr="00DA2B08" w:rsidRDefault="00DA2B08" w:rsidP="001E2184">
      <w:pPr>
        <w:pStyle w:val="ListParagraph"/>
        <w:numPr>
          <w:ilvl w:val="1"/>
          <w:numId w:val="1"/>
        </w:numPr>
        <w:spacing w:line="240" w:lineRule="auto"/>
        <w:rPr>
          <w:sz w:val="28"/>
          <w:szCs w:val="28"/>
        </w:rPr>
      </w:pPr>
      <w:r w:rsidRPr="00DA2B08">
        <w:rPr>
          <w:rFonts w:ascii="Verdana" w:hAnsi="Verdana"/>
          <w:sz w:val="28"/>
          <w:szCs w:val="28"/>
        </w:rPr>
        <w:t>Assistive Technology; and</w:t>
      </w:r>
    </w:p>
    <w:p w14:paraId="2A7B3FDE" w14:textId="36F2B5D4" w:rsidR="00DA2B08" w:rsidRPr="00867E42" w:rsidRDefault="00DA2B08" w:rsidP="001E2184">
      <w:pPr>
        <w:pStyle w:val="ListParagraph"/>
        <w:numPr>
          <w:ilvl w:val="1"/>
          <w:numId w:val="1"/>
        </w:numPr>
        <w:spacing w:line="240" w:lineRule="auto"/>
        <w:rPr>
          <w:sz w:val="28"/>
          <w:szCs w:val="28"/>
        </w:rPr>
      </w:pPr>
      <w:r w:rsidRPr="00DA2B08">
        <w:rPr>
          <w:rFonts w:ascii="Verdana" w:hAnsi="Verdana"/>
          <w:sz w:val="28"/>
          <w:szCs w:val="28"/>
        </w:rPr>
        <w:t>Recreation.</w:t>
      </w:r>
    </w:p>
    <w:p w14:paraId="45F1EB70" w14:textId="5F91DFEB" w:rsidR="00867E42" w:rsidRPr="00867E42" w:rsidRDefault="00867E42" w:rsidP="001E2184">
      <w:pPr>
        <w:pStyle w:val="ListParagraph"/>
        <w:spacing w:line="240" w:lineRule="auto"/>
        <w:rPr>
          <w:sz w:val="28"/>
          <w:szCs w:val="28"/>
        </w:rPr>
      </w:pPr>
    </w:p>
    <w:p w14:paraId="57CBEEDC" w14:textId="7A481734" w:rsidR="004D726A" w:rsidRPr="00867E42" w:rsidRDefault="004D726A" w:rsidP="001E2184">
      <w:pPr>
        <w:pStyle w:val="ListParagraph"/>
        <w:numPr>
          <w:ilvl w:val="0"/>
          <w:numId w:val="1"/>
        </w:numPr>
        <w:spacing w:line="240" w:lineRule="auto"/>
        <w:rPr>
          <w:sz w:val="28"/>
          <w:szCs w:val="28"/>
        </w:rPr>
      </w:pPr>
      <w:r w:rsidRPr="00AE1A54">
        <w:rPr>
          <w:rFonts w:ascii="Verdana" w:hAnsi="Verdana"/>
          <w:sz w:val="28"/>
          <w:szCs w:val="28"/>
        </w:rPr>
        <w:t xml:space="preserve">10,464 </w:t>
      </w:r>
      <w:r>
        <w:rPr>
          <w:rFonts w:ascii="Verdana" w:hAnsi="Verdana"/>
          <w:sz w:val="28"/>
          <w:szCs w:val="28"/>
        </w:rPr>
        <w:t xml:space="preserve">(53%) </w:t>
      </w:r>
      <w:r w:rsidRPr="00AE1A54">
        <w:rPr>
          <w:rFonts w:ascii="Verdana" w:hAnsi="Verdana"/>
          <w:sz w:val="28"/>
          <w:szCs w:val="28"/>
        </w:rPr>
        <w:t>Females and 9</w:t>
      </w:r>
      <w:r w:rsidR="00867E42">
        <w:rPr>
          <w:rFonts w:ascii="Verdana" w:hAnsi="Verdana"/>
          <w:sz w:val="28"/>
          <w:szCs w:val="28"/>
        </w:rPr>
        <w:t>,</w:t>
      </w:r>
      <w:r w:rsidRPr="00AE1A54">
        <w:rPr>
          <w:rFonts w:ascii="Verdana" w:hAnsi="Verdana"/>
          <w:sz w:val="28"/>
          <w:szCs w:val="28"/>
        </w:rPr>
        <w:t>082</w:t>
      </w:r>
      <w:r>
        <w:rPr>
          <w:rFonts w:ascii="Verdana" w:hAnsi="Verdana"/>
          <w:sz w:val="28"/>
          <w:szCs w:val="28"/>
        </w:rPr>
        <w:t xml:space="preserve"> (46%)</w:t>
      </w:r>
      <w:r w:rsidRPr="00AE1A54">
        <w:rPr>
          <w:rFonts w:ascii="Verdana" w:hAnsi="Verdana"/>
          <w:sz w:val="28"/>
          <w:szCs w:val="28"/>
        </w:rPr>
        <w:t xml:space="preserve"> males were served.</w:t>
      </w:r>
    </w:p>
    <w:p w14:paraId="505C0B22" w14:textId="5C4C9939" w:rsidR="00867E42" w:rsidRPr="00867E42" w:rsidRDefault="00867E42" w:rsidP="001E2184">
      <w:pPr>
        <w:pStyle w:val="ListParagraph"/>
        <w:spacing w:line="240" w:lineRule="auto"/>
        <w:rPr>
          <w:sz w:val="28"/>
          <w:szCs w:val="28"/>
        </w:rPr>
      </w:pPr>
    </w:p>
    <w:p w14:paraId="40C6C4C7" w14:textId="762408B7" w:rsidR="001E2A42" w:rsidRPr="00306363" w:rsidRDefault="001E2A42" w:rsidP="001E2184">
      <w:pPr>
        <w:pStyle w:val="ListParagraph"/>
        <w:numPr>
          <w:ilvl w:val="0"/>
          <w:numId w:val="1"/>
        </w:numPr>
        <w:spacing w:line="240" w:lineRule="auto"/>
        <w:rPr>
          <w:sz w:val="28"/>
          <w:szCs w:val="28"/>
        </w:rPr>
      </w:pPr>
      <w:r w:rsidRPr="00306363">
        <w:rPr>
          <w:rFonts w:ascii="Verdana" w:hAnsi="Verdana"/>
          <w:sz w:val="28"/>
          <w:szCs w:val="28"/>
        </w:rPr>
        <w:t>Consumers served by ethnicity:</w:t>
      </w:r>
    </w:p>
    <w:p w14:paraId="08709CD7" w14:textId="3D5E9FD0" w:rsidR="001E2A42" w:rsidRPr="00306363" w:rsidRDefault="001E2A42" w:rsidP="001E2184">
      <w:pPr>
        <w:pStyle w:val="ListParagraph"/>
        <w:numPr>
          <w:ilvl w:val="1"/>
          <w:numId w:val="1"/>
        </w:numPr>
        <w:spacing w:line="240" w:lineRule="auto"/>
        <w:rPr>
          <w:sz w:val="28"/>
          <w:szCs w:val="28"/>
        </w:rPr>
      </w:pPr>
      <w:r w:rsidRPr="00306363">
        <w:rPr>
          <w:rFonts w:ascii="Verdana" w:hAnsi="Verdana"/>
          <w:sz w:val="28"/>
          <w:szCs w:val="28"/>
        </w:rPr>
        <w:t>34.7</w:t>
      </w:r>
      <w:r w:rsidR="00A04930" w:rsidRPr="00306363">
        <w:rPr>
          <w:rFonts w:ascii="Verdana" w:hAnsi="Verdana"/>
          <w:sz w:val="28"/>
          <w:szCs w:val="28"/>
        </w:rPr>
        <w:t>%</w:t>
      </w:r>
      <w:r w:rsidRPr="00306363">
        <w:rPr>
          <w:rFonts w:ascii="Verdana" w:hAnsi="Verdana"/>
          <w:sz w:val="28"/>
          <w:szCs w:val="28"/>
        </w:rPr>
        <w:t xml:space="preserve"> (6859)</w:t>
      </w:r>
      <w:r w:rsidR="00A04930" w:rsidRPr="00306363">
        <w:rPr>
          <w:rFonts w:ascii="Verdana" w:hAnsi="Verdana"/>
          <w:sz w:val="28"/>
          <w:szCs w:val="28"/>
        </w:rPr>
        <w:t xml:space="preserve"> </w:t>
      </w:r>
      <w:r w:rsidR="004D726A">
        <w:rPr>
          <w:rFonts w:ascii="Verdana" w:hAnsi="Verdana"/>
          <w:sz w:val="28"/>
          <w:szCs w:val="28"/>
        </w:rPr>
        <w:t>W</w:t>
      </w:r>
      <w:r w:rsidR="00A04930" w:rsidRPr="00306363">
        <w:rPr>
          <w:rFonts w:ascii="Verdana" w:hAnsi="Verdana"/>
          <w:sz w:val="28"/>
          <w:szCs w:val="28"/>
        </w:rPr>
        <w:t>hite</w:t>
      </w:r>
      <w:r w:rsidR="007013CF">
        <w:rPr>
          <w:rFonts w:ascii="Verdana" w:hAnsi="Verdana"/>
          <w:sz w:val="28"/>
          <w:szCs w:val="28"/>
        </w:rPr>
        <w:t>;</w:t>
      </w:r>
    </w:p>
    <w:p w14:paraId="409C2797" w14:textId="7225B73D" w:rsidR="001E2A42" w:rsidRPr="00306363" w:rsidRDefault="00306363" w:rsidP="001E2184">
      <w:pPr>
        <w:pStyle w:val="ListParagraph"/>
        <w:numPr>
          <w:ilvl w:val="1"/>
          <w:numId w:val="1"/>
        </w:numPr>
        <w:spacing w:line="240" w:lineRule="auto"/>
        <w:rPr>
          <w:sz w:val="28"/>
          <w:szCs w:val="28"/>
        </w:rPr>
      </w:pPr>
      <w:r w:rsidRPr="00306363">
        <w:rPr>
          <w:rFonts w:ascii="Verdana" w:hAnsi="Verdana"/>
          <w:sz w:val="28"/>
          <w:szCs w:val="28"/>
        </w:rPr>
        <w:t>30.2</w:t>
      </w:r>
      <w:r w:rsidR="00A04930" w:rsidRPr="00306363">
        <w:rPr>
          <w:rFonts w:ascii="Verdana" w:hAnsi="Verdana"/>
          <w:sz w:val="28"/>
          <w:szCs w:val="28"/>
        </w:rPr>
        <w:t xml:space="preserve">% </w:t>
      </w:r>
      <w:r w:rsidRPr="00306363">
        <w:rPr>
          <w:rFonts w:ascii="Verdana" w:hAnsi="Verdana"/>
          <w:sz w:val="28"/>
          <w:szCs w:val="28"/>
        </w:rPr>
        <w:t xml:space="preserve">(5968) </w:t>
      </w:r>
      <w:r w:rsidR="00A04930" w:rsidRPr="00306363">
        <w:rPr>
          <w:rFonts w:ascii="Verdana" w:hAnsi="Verdana"/>
          <w:sz w:val="28"/>
          <w:szCs w:val="28"/>
        </w:rPr>
        <w:t>Hispanic</w:t>
      </w:r>
      <w:r w:rsidR="007013CF">
        <w:rPr>
          <w:rFonts w:ascii="Verdana" w:hAnsi="Verdana"/>
          <w:sz w:val="28"/>
          <w:szCs w:val="28"/>
        </w:rPr>
        <w:t>;</w:t>
      </w:r>
    </w:p>
    <w:p w14:paraId="5231EBB6" w14:textId="2BF3A6B5" w:rsidR="00306363" w:rsidRPr="00306363" w:rsidRDefault="00306363" w:rsidP="001E2184">
      <w:pPr>
        <w:pStyle w:val="ListParagraph"/>
        <w:numPr>
          <w:ilvl w:val="1"/>
          <w:numId w:val="1"/>
        </w:numPr>
        <w:spacing w:line="240" w:lineRule="auto"/>
        <w:rPr>
          <w:sz w:val="28"/>
          <w:szCs w:val="28"/>
        </w:rPr>
      </w:pPr>
      <w:r w:rsidRPr="00306363">
        <w:rPr>
          <w:rFonts w:ascii="Verdana" w:hAnsi="Verdana"/>
          <w:sz w:val="28"/>
          <w:szCs w:val="28"/>
        </w:rPr>
        <w:t xml:space="preserve">22.9% (4531) </w:t>
      </w:r>
      <w:r w:rsidR="004D726A">
        <w:rPr>
          <w:rFonts w:ascii="Verdana" w:hAnsi="Verdana"/>
          <w:sz w:val="28"/>
          <w:szCs w:val="28"/>
        </w:rPr>
        <w:t>B</w:t>
      </w:r>
      <w:r w:rsidRPr="00306363">
        <w:rPr>
          <w:rFonts w:ascii="Verdana" w:hAnsi="Verdana"/>
          <w:sz w:val="28"/>
          <w:szCs w:val="28"/>
        </w:rPr>
        <w:t>lack</w:t>
      </w:r>
      <w:r w:rsidR="007013CF">
        <w:rPr>
          <w:rFonts w:ascii="Verdana" w:hAnsi="Verdana"/>
          <w:sz w:val="28"/>
          <w:szCs w:val="28"/>
        </w:rPr>
        <w:t>;</w:t>
      </w:r>
    </w:p>
    <w:p w14:paraId="23631AAD" w14:textId="42738C4A" w:rsidR="001E2A42" w:rsidRPr="00306363" w:rsidRDefault="001E2A42" w:rsidP="001E2184">
      <w:pPr>
        <w:pStyle w:val="ListParagraph"/>
        <w:numPr>
          <w:ilvl w:val="1"/>
          <w:numId w:val="1"/>
        </w:numPr>
        <w:spacing w:line="240" w:lineRule="auto"/>
        <w:rPr>
          <w:sz w:val="28"/>
          <w:szCs w:val="28"/>
        </w:rPr>
      </w:pPr>
      <w:r w:rsidRPr="00306363">
        <w:rPr>
          <w:rFonts w:ascii="Verdana" w:hAnsi="Verdana"/>
          <w:sz w:val="28"/>
          <w:szCs w:val="28"/>
        </w:rPr>
        <w:t>6.1</w:t>
      </w:r>
      <w:r w:rsidR="00A04930" w:rsidRPr="00306363">
        <w:rPr>
          <w:rFonts w:ascii="Verdana" w:hAnsi="Verdana"/>
          <w:sz w:val="28"/>
          <w:szCs w:val="28"/>
        </w:rPr>
        <w:t xml:space="preserve">% </w:t>
      </w:r>
      <w:r w:rsidRPr="00306363">
        <w:rPr>
          <w:rFonts w:ascii="Verdana" w:hAnsi="Verdana"/>
          <w:sz w:val="28"/>
          <w:szCs w:val="28"/>
        </w:rPr>
        <w:t xml:space="preserve">(1204) </w:t>
      </w:r>
      <w:r w:rsidR="00A04930" w:rsidRPr="00306363">
        <w:rPr>
          <w:rFonts w:ascii="Verdana" w:hAnsi="Verdana"/>
          <w:sz w:val="28"/>
          <w:szCs w:val="28"/>
        </w:rPr>
        <w:t>Asian</w:t>
      </w:r>
      <w:r w:rsidR="007013CF">
        <w:rPr>
          <w:rFonts w:ascii="Verdana" w:hAnsi="Verdana"/>
          <w:sz w:val="28"/>
          <w:szCs w:val="28"/>
        </w:rPr>
        <w:t>;</w:t>
      </w:r>
    </w:p>
    <w:p w14:paraId="28D54EBC" w14:textId="65D9BA83" w:rsidR="00306363" w:rsidRPr="00306363" w:rsidRDefault="00306363" w:rsidP="001E2184">
      <w:pPr>
        <w:pStyle w:val="ListParagraph"/>
        <w:numPr>
          <w:ilvl w:val="1"/>
          <w:numId w:val="1"/>
        </w:numPr>
        <w:spacing w:line="240" w:lineRule="auto"/>
        <w:rPr>
          <w:sz w:val="28"/>
          <w:szCs w:val="28"/>
        </w:rPr>
      </w:pPr>
      <w:r w:rsidRPr="00306363">
        <w:rPr>
          <w:rFonts w:ascii="Verdana" w:hAnsi="Verdana"/>
          <w:sz w:val="28"/>
          <w:szCs w:val="28"/>
        </w:rPr>
        <w:t>2.8% (553) 2 or more races</w:t>
      </w:r>
      <w:r w:rsidR="007013CF">
        <w:rPr>
          <w:rFonts w:ascii="Verdana" w:hAnsi="Verdana"/>
          <w:sz w:val="28"/>
          <w:szCs w:val="28"/>
        </w:rPr>
        <w:t>;</w:t>
      </w:r>
    </w:p>
    <w:p w14:paraId="48CB8078" w14:textId="3D4F37DC" w:rsidR="00306363" w:rsidRPr="00306363" w:rsidRDefault="00306363" w:rsidP="001E2184">
      <w:pPr>
        <w:pStyle w:val="ListParagraph"/>
        <w:numPr>
          <w:ilvl w:val="1"/>
          <w:numId w:val="1"/>
        </w:numPr>
        <w:spacing w:line="240" w:lineRule="auto"/>
        <w:rPr>
          <w:sz w:val="28"/>
          <w:szCs w:val="28"/>
        </w:rPr>
      </w:pPr>
      <w:r w:rsidRPr="00306363">
        <w:rPr>
          <w:rFonts w:ascii="Verdana" w:hAnsi="Verdana"/>
          <w:sz w:val="28"/>
          <w:szCs w:val="28"/>
        </w:rPr>
        <w:t xml:space="preserve">2.4% (491) </w:t>
      </w:r>
      <w:r w:rsidR="004D726A">
        <w:rPr>
          <w:rFonts w:ascii="Verdana" w:hAnsi="Verdana"/>
          <w:sz w:val="28"/>
          <w:szCs w:val="28"/>
        </w:rPr>
        <w:t>U</w:t>
      </w:r>
      <w:r w:rsidRPr="00306363">
        <w:rPr>
          <w:rFonts w:ascii="Verdana" w:hAnsi="Verdana"/>
          <w:sz w:val="28"/>
          <w:szCs w:val="28"/>
        </w:rPr>
        <w:t>nknown</w:t>
      </w:r>
      <w:r w:rsidR="007013CF">
        <w:rPr>
          <w:rFonts w:ascii="Verdana" w:hAnsi="Verdana"/>
          <w:sz w:val="28"/>
          <w:szCs w:val="28"/>
        </w:rPr>
        <w:t>;</w:t>
      </w:r>
    </w:p>
    <w:p w14:paraId="028C003C" w14:textId="231EBF0D" w:rsidR="001E2A42" w:rsidRPr="00306363" w:rsidRDefault="001E2A42" w:rsidP="001E2184">
      <w:pPr>
        <w:pStyle w:val="ListParagraph"/>
        <w:numPr>
          <w:ilvl w:val="1"/>
          <w:numId w:val="1"/>
        </w:numPr>
        <w:spacing w:line="240" w:lineRule="auto"/>
        <w:rPr>
          <w:sz w:val="28"/>
          <w:szCs w:val="28"/>
        </w:rPr>
      </w:pPr>
      <w:r w:rsidRPr="00306363">
        <w:rPr>
          <w:rFonts w:ascii="Verdana" w:hAnsi="Verdana"/>
          <w:sz w:val="28"/>
          <w:szCs w:val="28"/>
        </w:rPr>
        <w:t>1.1% (229)</w:t>
      </w:r>
      <w:r w:rsidR="00A04930" w:rsidRPr="00306363">
        <w:rPr>
          <w:rFonts w:ascii="Verdana" w:hAnsi="Verdana"/>
          <w:sz w:val="28"/>
          <w:szCs w:val="28"/>
        </w:rPr>
        <w:t xml:space="preserve"> American Indian</w:t>
      </w:r>
      <w:r w:rsidR="007013CF">
        <w:rPr>
          <w:rFonts w:ascii="Verdana" w:hAnsi="Verdana"/>
          <w:sz w:val="28"/>
          <w:szCs w:val="28"/>
        </w:rPr>
        <w:t>; and</w:t>
      </w:r>
    </w:p>
    <w:p w14:paraId="250B3ABF" w14:textId="6D941E2D" w:rsidR="00867E42" w:rsidRPr="00867E42" w:rsidRDefault="001E5A21" w:rsidP="001E2184">
      <w:pPr>
        <w:pStyle w:val="ListParagraph"/>
        <w:numPr>
          <w:ilvl w:val="1"/>
          <w:numId w:val="1"/>
        </w:numPr>
        <w:spacing w:line="240" w:lineRule="auto"/>
        <w:rPr>
          <w:sz w:val="28"/>
          <w:szCs w:val="28"/>
        </w:rPr>
      </w:pPr>
      <w:r>
        <w:rPr>
          <w:rFonts w:ascii="Verdana" w:hAnsi="Verdana"/>
          <w:sz w:val="28"/>
          <w:szCs w:val="28"/>
        </w:rPr>
        <w:t>0</w:t>
      </w:r>
      <w:r w:rsidR="001E2A42" w:rsidRPr="00306363">
        <w:rPr>
          <w:rFonts w:ascii="Verdana" w:hAnsi="Verdana"/>
          <w:sz w:val="28"/>
          <w:szCs w:val="28"/>
        </w:rPr>
        <w:t>.5</w:t>
      </w:r>
      <w:r w:rsidR="00A04930" w:rsidRPr="00306363">
        <w:rPr>
          <w:rFonts w:ascii="Verdana" w:hAnsi="Verdana"/>
          <w:sz w:val="28"/>
          <w:szCs w:val="28"/>
        </w:rPr>
        <w:t>%</w:t>
      </w:r>
      <w:r w:rsidR="001E2A42" w:rsidRPr="00306363">
        <w:rPr>
          <w:rFonts w:ascii="Verdana" w:hAnsi="Verdana"/>
          <w:sz w:val="28"/>
          <w:szCs w:val="28"/>
        </w:rPr>
        <w:t xml:space="preserve"> (103)</w:t>
      </w:r>
      <w:r w:rsidR="00A04930" w:rsidRPr="00306363">
        <w:rPr>
          <w:rFonts w:ascii="Verdana" w:hAnsi="Verdana"/>
          <w:sz w:val="28"/>
          <w:szCs w:val="28"/>
        </w:rPr>
        <w:t xml:space="preserve"> Hawaiian</w:t>
      </w:r>
      <w:r w:rsidR="007013CF">
        <w:rPr>
          <w:rFonts w:ascii="Verdana" w:hAnsi="Verdana"/>
          <w:sz w:val="28"/>
          <w:szCs w:val="28"/>
        </w:rPr>
        <w:t>.</w:t>
      </w:r>
    </w:p>
    <w:p w14:paraId="43694827" w14:textId="77777777" w:rsidR="00867E42" w:rsidRPr="00867E42" w:rsidRDefault="00867E42" w:rsidP="001E2184">
      <w:pPr>
        <w:pStyle w:val="ListParagraph"/>
        <w:spacing w:line="240" w:lineRule="auto"/>
        <w:rPr>
          <w:sz w:val="28"/>
          <w:szCs w:val="28"/>
        </w:rPr>
      </w:pPr>
    </w:p>
    <w:p w14:paraId="4F89A2EF" w14:textId="3AD974F9" w:rsidR="000D3D4F" w:rsidRPr="000D3D4F" w:rsidRDefault="000D3D4F" w:rsidP="001E2184">
      <w:pPr>
        <w:pStyle w:val="ListParagraph"/>
        <w:numPr>
          <w:ilvl w:val="0"/>
          <w:numId w:val="1"/>
        </w:numPr>
        <w:spacing w:line="240" w:lineRule="auto"/>
        <w:rPr>
          <w:sz w:val="28"/>
          <w:szCs w:val="28"/>
        </w:rPr>
      </w:pPr>
      <w:r w:rsidRPr="000D3D4F">
        <w:rPr>
          <w:rFonts w:ascii="Verdana" w:hAnsi="Verdana"/>
          <w:sz w:val="28"/>
          <w:szCs w:val="28"/>
        </w:rPr>
        <w:t>Consumers served by age group:</w:t>
      </w:r>
    </w:p>
    <w:p w14:paraId="4B5D28EB" w14:textId="2102E554" w:rsidR="000D3D4F" w:rsidRPr="000D3D4F" w:rsidRDefault="000D3D4F" w:rsidP="001E2184">
      <w:pPr>
        <w:pStyle w:val="ListParagraph"/>
        <w:numPr>
          <w:ilvl w:val="1"/>
          <w:numId w:val="1"/>
        </w:numPr>
        <w:spacing w:line="240" w:lineRule="auto"/>
        <w:rPr>
          <w:sz w:val="28"/>
          <w:szCs w:val="28"/>
        </w:rPr>
      </w:pPr>
      <w:r w:rsidRPr="000D3D4F">
        <w:rPr>
          <w:rFonts w:ascii="Verdana" w:hAnsi="Verdana"/>
          <w:sz w:val="28"/>
          <w:szCs w:val="28"/>
        </w:rPr>
        <w:t>51.4% (</w:t>
      </w:r>
      <w:r w:rsidR="00AE1A54" w:rsidRPr="000D3D4F">
        <w:rPr>
          <w:rFonts w:ascii="Verdana" w:hAnsi="Verdana"/>
          <w:sz w:val="28"/>
          <w:szCs w:val="28"/>
        </w:rPr>
        <w:t>10144</w:t>
      </w:r>
      <w:r w:rsidRPr="000D3D4F">
        <w:rPr>
          <w:rFonts w:ascii="Verdana" w:hAnsi="Verdana"/>
          <w:sz w:val="28"/>
          <w:szCs w:val="28"/>
        </w:rPr>
        <w:t>) were ages</w:t>
      </w:r>
      <w:r w:rsidR="00A04930" w:rsidRPr="000D3D4F">
        <w:rPr>
          <w:rFonts w:ascii="Verdana" w:hAnsi="Verdana"/>
          <w:sz w:val="28"/>
          <w:szCs w:val="28"/>
        </w:rPr>
        <w:t xml:space="preserve"> 25-59</w:t>
      </w:r>
      <w:r w:rsidR="007013CF">
        <w:rPr>
          <w:rFonts w:ascii="Verdana" w:hAnsi="Verdana"/>
          <w:sz w:val="28"/>
          <w:szCs w:val="28"/>
        </w:rPr>
        <w:t>;</w:t>
      </w:r>
    </w:p>
    <w:p w14:paraId="6BC9E524" w14:textId="0002E7EC" w:rsidR="00A04930" w:rsidRPr="00306363" w:rsidRDefault="000D3D4F" w:rsidP="001E2184">
      <w:pPr>
        <w:pStyle w:val="ListParagraph"/>
        <w:numPr>
          <w:ilvl w:val="1"/>
          <w:numId w:val="1"/>
        </w:numPr>
        <w:spacing w:line="240" w:lineRule="auto"/>
        <w:rPr>
          <w:sz w:val="28"/>
          <w:szCs w:val="28"/>
        </w:rPr>
      </w:pPr>
      <w:r w:rsidRPr="000D3D4F">
        <w:rPr>
          <w:rFonts w:ascii="Verdana" w:hAnsi="Verdana"/>
          <w:sz w:val="28"/>
          <w:szCs w:val="28"/>
        </w:rPr>
        <w:t>35.3% (</w:t>
      </w:r>
      <w:r w:rsidR="00AE1A54" w:rsidRPr="000D3D4F">
        <w:rPr>
          <w:rFonts w:ascii="Verdana" w:hAnsi="Verdana"/>
          <w:sz w:val="28"/>
          <w:szCs w:val="28"/>
        </w:rPr>
        <w:t>6966</w:t>
      </w:r>
      <w:r w:rsidRPr="000D3D4F">
        <w:rPr>
          <w:rFonts w:ascii="Verdana" w:hAnsi="Verdana"/>
          <w:sz w:val="28"/>
          <w:szCs w:val="28"/>
        </w:rPr>
        <w:t xml:space="preserve">) were ages </w:t>
      </w:r>
      <w:r w:rsidR="00A04930" w:rsidRPr="000D3D4F">
        <w:rPr>
          <w:rFonts w:ascii="Verdana" w:hAnsi="Verdana"/>
          <w:sz w:val="28"/>
          <w:szCs w:val="28"/>
        </w:rPr>
        <w:t>60</w:t>
      </w:r>
      <w:r w:rsidR="007013CF">
        <w:rPr>
          <w:rFonts w:ascii="Verdana" w:hAnsi="Verdana"/>
          <w:sz w:val="28"/>
          <w:szCs w:val="28"/>
        </w:rPr>
        <w:t xml:space="preserve"> or over;</w:t>
      </w:r>
    </w:p>
    <w:p w14:paraId="33448DBB" w14:textId="22EB3E74" w:rsidR="00306363" w:rsidRPr="000D3D4F" w:rsidRDefault="00306363" w:rsidP="001E2184">
      <w:pPr>
        <w:pStyle w:val="ListParagraph"/>
        <w:numPr>
          <w:ilvl w:val="1"/>
          <w:numId w:val="1"/>
        </w:numPr>
        <w:spacing w:line="240" w:lineRule="auto"/>
        <w:rPr>
          <w:sz w:val="28"/>
          <w:szCs w:val="28"/>
        </w:rPr>
      </w:pPr>
      <w:r w:rsidRPr="000D3D4F">
        <w:rPr>
          <w:rFonts w:ascii="Verdana" w:hAnsi="Verdana"/>
          <w:sz w:val="28"/>
          <w:szCs w:val="28"/>
        </w:rPr>
        <w:t>8</w:t>
      </w:r>
      <w:r w:rsidR="001E5A21">
        <w:rPr>
          <w:rFonts w:ascii="Verdana" w:hAnsi="Verdana"/>
          <w:sz w:val="28"/>
          <w:szCs w:val="28"/>
        </w:rPr>
        <w:t>.0</w:t>
      </w:r>
      <w:r w:rsidRPr="000D3D4F">
        <w:rPr>
          <w:rFonts w:ascii="Verdana" w:hAnsi="Verdana"/>
          <w:sz w:val="28"/>
          <w:szCs w:val="28"/>
        </w:rPr>
        <w:t>% (1578) aged 14-24</w:t>
      </w:r>
      <w:r w:rsidR="007013CF">
        <w:rPr>
          <w:rFonts w:ascii="Verdana" w:hAnsi="Verdana"/>
          <w:sz w:val="28"/>
          <w:szCs w:val="28"/>
        </w:rPr>
        <w:t>;</w:t>
      </w:r>
    </w:p>
    <w:p w14:paraId="6EBADAD0" w14:textId="2272352A" w:rsidR="00306363" w:rsidRPr="000814AB" w:rsidRDefault="000814AB" w:rsidP="001E2184">
      <w:pPr>
        <w:pStyle w:val="ListParagraph"/>
        <w:numPr>
          <w:ilvl w:val="1"/>
          <w:numId w:val="1"/>
        </w:numPr>
        <w:spacing w:line="240" w:lineRule="auto"/>
        <w:rPr>
          <w:sz w:val="28"/>
          <w:szCs w:val="28"/>
        </w:rPr>
      </w:pPr>
      <w:r w:rsidRPr="000D3D4F">
        <w:rPr>
          <w:rFonts w:ascii="Verdana" w:hAnsi="Verdana"/>
          <w:sz w:val="28"/>
          <w:szCs w:val="28"/>
        </w:rPr>
        <w:t>3.7% (731) were ages 5-14</w:t>
      </w:r>
      <w:r>
        <w:rPr>
          <w:rFonts w:ascii="Verdana" w:hAnsi="Verdana"/>
          <w:sz w:val="28"/>
          <w:szCs w:val="28"/>
        </w:rPr>
        <w:t>;</w:t>
      </w:r>
      <w:r w:rsidR="007013CF" w:rsidRPr="000814AB">
        <w:rPr>
          <w:rFonts w:ascii="Verdana" w:hAnsi="Verdana"/>
          <w:sz w:val="28"/>
          <w:szCs w:val="28"/>
        </w:rPr>
        <w:t xml:space="preserve"> and</w:t>
      </w:r>
    </w:p>
    <w:p w14:paraId="047C653D" w14:textId="35C7BA1D" w:rsidR="00306363" w:rsidRPr="00306363" w:rsidRDefault="001E5A21" w:rsidP="001E2184">
      <w:pPr>
        <w:pStyle w:val="ListParagraph"/>
        <w:numPr>
          <w:ilvl w:val="1"/>
          <w:numId w:val="1"/>
        </w:numPr>
        <w:spacing w:line="240" w:lineRule="auto"/>
        <w:rPr>
          <w:sz w:val="28"/>
          <w:szCs w:val="28"/>
        </w:rPr>
      </w:pPr>
      <w:r>
        <w:rPr>
          <w:rFonts w:ascii="Verdana" w:hAnsi="Verdana"/>
          <w:sz w:val="28"/>
          <w:szCs w:val="28"/>
        </w:rPr>
        <w:t>0</w:t>
      </w:r>
      <w:r w:rsidR="000814AB">
        <w:rPr>
          <w:rFonts w:ascii="Verdana" w:hAnsi="Verdana"/>
          <w:sz w:val="28"/>
          <w:szCs w:val="28"/>
        </w:rPr>
        <w:t>.</w:t>
      </w:r>
      <w:r w:rsidR="000814AB" w:rsidRPr="000D3D4F">
        <w:rPr>
          <w:rFonts w:ascii="Verdana" w:hAnsi="Verdana"/>
          <w:sz w:val="28"/>
          <w:szCs w:val="28"/>
        </w:rPr>
        <w:t>4% (79) of consumers served were under age 5</w:t>
      </w:r>
      <w:r w:rsidR="000814AB">
        <w:rPr>
          <w:rFonts w:ascii="Verdana" w:hAnsi="Verdana"/>
          <w:sz w:val="28"/>
          <w:szCs w:val="28"/>
        </w:rPr>
        <w:t xml:space="preserve">. </w:t>
      </w:r>
    </w:p>
    <w:p w14:paraId="2998EF5B" w14:textId="3F703945" w:rsidR="00F07179" w:rsidRPr="00F07179" w:rsidRDefault="00F07179" w:rsidP="001E2184">
      <w:pPr>
        <w:pStyle w:val="ListParagraph"/>
        <w:spacing w:line="240" w:lineRule="auto"/>
        <w:rPr>
          <w:sz w:val="28"/>
          <w:szCs w:val="28"/>
        </w:rPr>
      </w:pPr>
    </w:p>
    <w:p w14:paraId="237EF7D8" w14:textId="6B232C87" w:rsidR="000D3D4F" w:rsidRPr="000D3D4F" w:rsidRDefault="00F07179" w:rsidP="001E2184">
      <w:pPr>
        <w:pStyle w:val="ListParagraph"/>
        <w:numPr>
          <w:ilvl w:val="0"/>
          <w:numId w:val="1"/>
        </w:numPr>
        <w:spacing w:line="240" w:lineRule="auto"/>
        <w:rPr>
          <w:sz w:val="28"/>
          <w:szCs w:val="28"/>
        </w:rPr>
      </w:pPr>
      <w:r>
        <w:rPr>
          <w:rFonts w:ascii="Verdana" w:hAnsi="Verdana"/>
          <w:sz w:val="28"/>
          <w:szCs w:val="28"/>
        </w:rPr>
        <w:t>C</w:t>
      </w:r>
      <w:r w:rsidR="000D3D4F">
        <w:rPr>
          <w:rFonts w:ascii="Verdana" w:hAnsi="Verdana"/>
          <w:sz w:val="28"/>
          <w:szCs w:val="28"/>
        </w:rPr>
        <w:t>onsumers served b</w:t>
      </w:r>
      <w:r w:rsidR="00AE1A54">
        <w:rPr>
          <w:rFonts w:ascii="Verdana" w:hAnsi="Verdana"/>
          <w:sz w:val="28"/>
          <w:szCs w:val="28"/>
        </w:rPr>
        <w:t>y disability type</w:t>
      </w:r>
      <w:r w:rsidR="000D3D4F">
        <w:rPr>
          <w:rFonts w:ascii="Verdana" w:hAnsi="Verdana"/>
          <w:sz w:val="28"/>
          <w:szCs w:val="28"/>
        </w:rPr>
        <w:t>:</w:t>
      </w:r>
    </w:p>
    <w:p w14:paraId="74CC2A98" w14:textId="380523D1" w:rsidR="000D3D4F" w:rsidRPr="000D3D4F" w:rsidRDefault="00306363" w:rsidP="001E2184">
      <w:pPr>
        <w:pStyle w:val="ListParagraph"/>
        <w:numPr>
          <w:ilvl w:val="1"/>
          <w:numId w:val="1"/>
        </w:numPr>
        <w:spacing w:line="240" w:lineRule="auto"/>
        <w:rPr>
          <w:sz w:val="28"/>
          <w:szCs w:val="28"/>
        </w:rPr>
      </w:pPr>
      <w:r>
        <w:rPr>
          <w:rFonts w:ascii="Verdana" w:hAnsi="Verdana"/>
          <w:sz w:val="28"/>
          <w:szCs w:val="28"/>
        </w:rPr>
        <w:t>33.5% (6621)</w:t>
      </w:r>
      <w:r w:rsidR="00AE1A54">
        <w:rPr>
          <w:rFonts w:ascii="Verdana" w:hAnsi="Verdana"/>
          <w:sz w:val="28"/>
          <w:szCs w:val="28"/>
        </w:rPr>
        <w:t xml:space="preserve"> </w:t>
      </w:r>
      <w:r>
        <w:rPr>
          <w:rFonts w:ascii="Verdana" w:hAnsi="Verdana"/>
          <w:sz w:val="28"/>
          <w:szCs w:val="28"/>
        </w:rPr>
        <w:t>identify as having</w:t>
      </w:r>
      <w:r w:rsidR="00AE1A54">
        <w:rPr>
          <w:rFonts w:ascii="Verdana" w:hAnsi="Verdana"/>
          <w:sz w:val="28"/>
          <w:szCs w:val="28"/>
        </w:rPr>
        <w:t xml:space="preserve"> a physical disability</w:t>
      </w:r>
      <w:r w:rsidR="007013CF">
        <w:rPr>
          <w:rFonts w:ascii="Verdana" w:hAnsi="Verdana"/>
          <w:sz w:val="28"/>
          <w:szCs w:val="28"/>
        </w:rPr>
        <w:t>;</w:t>
      </w:r>
    </w:p>
    <w:p w14:paraId="24AF2090" w14:textId="53DD3CCC" w:rsidR="007013CF" w:rsidRPr="00AE1A54" w:rsidRDefault="007013CF" w:rsidP="001E2184">
      <w:pPr>
        <w:pStyle w:val="ListParagraph"/>
        <w:numPr>
          <w:ilvl w:val="1"/>
          <w:numId w:val="1"/>
        </w:numPr>
        <w:spacing w:line="240" w:lineRule="auto"/>
        <w:rPr>
          <w:sz w:val="28"/>
          <w:szCs w:val="28"/>
        </w:rPr>
      </w:pPr>
      <w:r>
        <w:rPr>
          <w:rFonts w:ascii="Verdana" w:hAnsi="Verdana"/>
          <w:sz w:val="28"/>
          <w:szCs w:val="28"/>
        </w:rPr>
        <w:t>30.4% (6007) identi</w:t>
      </w:r>
      <w:r w:rsidR="00867E42">
        <w:rPr>
          <w:rFonts w:ascii="Verdana" w:hAnsi="Verdana"/>
          <w:sz w:val="28"/>
          <w:szCs w:val="28"/>
        </w:rPr>
        <w:t>fy</w:t>
      </w:r>
      <w:r>
        <w:rPr>
          <w:rFonts w:ascii="Verdana" w:hAnsi="Verdana"/>
          <w:sz w:val="28"/>
          <w:szCs w:val="28"/>
        </w:rPr>
        <w:t xml:space="preserve"> as experiencing multiple disabilities;</w:t>
      </w:r>
    </w:p>
    <w:p w14:paraId="0E121C15" w14:textId="068622CD" w:rsidR="007013CF" w:rsidRPr="000D3D4F" w:rsidRDefault="007013CF" w:rsidP="001E2184">
      <w:pPr>
        <w:pStyle w:val="ListParagraph"/>
        <w:numPr>
          <w:ilvl w:val="1"/>
          <w:numId w:val="1"/>
        </w:numPr>
        <w:spacing w:line="240" w:lineRule="auto"/>
        <w:rPr>
          <w:sz w:val="28"/>
          <w:szCs w:val="28"/>
        </w:rPr>
      </w:pPr>
      <w:r>
        <w:rPr>
          <w:rFonts w:ascii="Verdana" w:hAnsi="Verdana"/>
          <w:sz w:val="28"/>
          <w:szCs w:val="28"/>
        </w:rPr>
        <w:t xml:space="preserve">21.7% (4280) </w:t>
      </w:r>
      <w:r w:rsidR="00867E42">
        <w:rPr>
          <w:rFonts w:ascii="Verdana" w:hAnsi="Verdana"/>
          <w:sz w:val="28"/>
          <w:szCs w:val="28"/>
        </w:rPr>
        <w:t>identify</w:t>
      </w:r>
      <w:r>
        <w:rPr>
          <w:rFonts w:ascii="Verdana" w:hAnsi="Verdana"/>
          <w:sz w:val="28"/>
          <w:szCs w:val="28"/>
        </w:rPr>
        <w:t xml:space="preserve"> as having a mental/emotional disability;</w:t>
      </w:r>
    </w:p>
    <w:p w14:paraId="173AA203" w14:textId="7045BB6D" w:rsidR="007013CF" w:rsidRPr="000D3D4F" w:rsidRDefault="007013CF" w:rsidP="001E2184">
      <w:pPr>
        <w:pStyle w:val="ListParagraph"/>
        <w:numPr>
          <w:ilvl w:val="1"/>
          <w:numId w:val="1"/>
        </w:numPr>
        <w:spacing w:line="240" w:lineRule="auto"/>
        <w:rPr>
          <w:sz w:val="28"/>
          <w:szCs w:val="28"/>
        </w:rPr>
      </w:pPr>
      <w:r>
        <w:rPr>
          <w:rFonts w:ascii="Verdana" w:hAnsi="Verdana"/>
          <w:sz w:val="28"/>
          <w:szCs w:val="28"/>
        </w:rPr>
        <w:t>6</w:t>
      </w:r>
      <w:r w:rsidR="001E5A21">
        <w:rPr>
          <w:rFonts w:ascii="Verdana" w:hAnsi="Verdana"/>
          <w:sz w:val="28"/>
          <w:szCs w:val="28"/>
        </w:rPr>
        <w:t>.0</w:t>
      </w:r>
      <w:r>
        <w:rPr>
          <w:rFonts w:ascii="Verdana" w:hAnsi="Verdana"/>
          <w:sz w:val="28"/>
          <w:szCs w:val="28"/>
        </w:rPr>
        <w:t>% (1184</w:t>
      </w:r>
      <w:r w:rsidR="00867E42" w:rsidRPr="00867E42">
        <w:rPr>
          <w:rFonts w:ascii="Verdana" w:hAnsi="Verdana"/>
          <w:sz w:val="28"/>
          <w:szCs w:val="28"/>
        </w:rPr>
        <w:t xml:space="preserve"> </w:t>
      </w:r>
      <w:r w:rsidR="00867E42">
        <w:rPr>
          <w:rFonts w:ascii="Verdana" w:hAnsi="Verdana"/>
          <w:sz w:val="28"/>
          <w:szCs w:val="28"/>
        </w:rPr>
        <w:t xml:space="preserve">identify </w:t>
      </w:r>
      <w:r>
        <w:rPr>
          <w:rFonts w:ascii="Verdana" w:hAnsi="Verdana"/>
          <w:sz w:val="28"/>
          <w:szCs w:val="28"/>
        </w:rPr>
        <w:t>as having a cognitive disability;</w:t>
      </w:r>
    </w:p>
    <w:p w14:paraId="17825E6E" w14:textId="53A81CFE" w:rsidR="000D3D4F" w:rsidRPr="007013CF" w:rsidRDefault="007013CF" w:rsidP="001E2184">
      <w:pPr>
        <w:pStyle w:val="ListParagraph"/>
        <w:numPr>
          <w:ilvl w:val="1"/>
          <w:numId w:val="1"/>
        </w:numPr>
        <w:spacing w:line="240" w:lineRule="auto"/>
        <w:rPr>
          <w:sz w:val="28"/>
          <w:szCs w:val="28"/>
        </w:rPr>
      </w:pPr>
      <w:r>
        <w:rPr>
          <w:rFonts w:ascii="Verdana" w:hAnsi="Verdana"/>
          <w:sz w:val="28"/>
          <w:szCs w:val="28"/>
        </w:rPr>
        <w:t xml:space="preserve">5.2% </w:t>
      </w:r>
      <w:r w:rsidR="00306363">
        <w:rPr>
          <w:rFonts w:ascii="Verdana" w:hAnsi="Verdana"/>
          <w:sz w:val="28"/>
          <w:szCs w:val="28"/>
        </w:rPr>
        <w:t>(1023)</w:t>
      </w:r>
      <w:r w:rsidR="00AE1A54">
        <w:rPr>
          <w:rFonts w:ascii="Verdana" w:hAnsi="Verdana"/>
          <w:sz w:val="28"/>
          <w:szCs w:val="28"/>
        </w:rPr>
        <w:t xml:space="preserve"> </w:t>
      </w:r>
      <w:r w:rsidR="00306363">
        <w:rPr>
          <w:rFonts w:ascii="Verdana" w:hAnsi="Verdana"/>
          <w:sz w:val="28"/>
          <w:szCs w:val="28"/>
        </w:rPr>
        <w:t>identify as having a</w:t>
      </w:r>
      <w:r w:rsidR="00AE1A54">
        <w:rPr>
          <w:rFonts w:ascii="Verdana" w:hAnsi="Verdana"/>
          <w:sz w:val="28"/>
          <w:szCs w:val="28"/>
        </w:rPr>
        <w:t xml:space="preserve"> vision disabilit</w:t>
      </w:r>
      <w:r w:rsidR="00306363">
        <w:rPr>
          <w:rFonts w:ascii="Verdana" w:hAnsi="Verdana"/>
          <w:sz w:val="28"/>
          <w:szCs w:val="28"/>
        </w:rPr>
        <w:t>y</w:t>
      </w:r>
      <w:r>
        <w:rPr>
          <w:rFonts w:ascii="Verdana" w:hAnsi="Verdana"/>
          <w:sz w:val="28"/>
          <w:szCs w:val="28"/>
        </w:rPr>
        <w:t>;</w:t>
      </w:r>
    </w:p>
    <w:p w14:paraId="1347260E" w14:textId="5385524B" w:rsidR="007013CF" w:rsidRPr="000D3D4F" w:rsidRDefault="007013CF" w:rsidP="001E2184">
      <w:pPr>
        <w:pStyle w:val="ListParagraph"/>
        <w:numPr>
          <w:ilvl w:val="1"/>
          <w:numId w:val="1"/>
        </w:numPr>
        <w:spacing w:line="240" w:lineRule="auto"/>
        <w:rPr>
          <w:sz w:val="28"/>
          <w:szCs w:val="28"/>
        </w:rPr>
      </w:pPr>
      <w:r>
        <w:rPr>
          <w:rFonts w:ascii="Verdana" w:hAnsi="Verdana"/>
          <w:sz w:val="28"/>
          <w:szCs w:val="28"/>
        </w:rPr>
        <w:lastRenderedPageBreak/>
        <w:t>3.2% (638) identify as having “other” types of disability; and</w:t>
      </w:r>
    </w:p>
    <w:p w14:paraId="122D5B22" w14:textId="18229413" w:rsidR="00F07179" w:rsidRPr="00107CA4" w:rsidRDefault="007013CF" w:rsidP="001E2184">
      <w:pPr>
        <w:pStyle w:val="ListParagraph"/>
        <w:numPr>
          <w:ilvl w:val="1"/>
          <w:numId w:val="1"/>
        </w:numPr>
        <w:spacing w:line="240" w:lineRule="auto"/>
        <w:rPr>
          <w:sz w:val="28"/>
          <w:szCs w:val="28"/>
        </w:rPr>
      </w:pPr>
      <w:r>
        <w:rPr>
          <w:rFonts w:ascii="Verdana" w:hAnsi="Verdana"/>
          <w:sz w:val="28"/>
          <w:szCs w:val="28"/>
        </w:rPr>
        <w:t>3.2% (635) identify as having a hearing disability.</w:t>
      </w:r>
    </w:p>
    <w:p w14:paraId="5E733FAE" w14:textId="77777777" w:rsidR="00107CA4" w:rsidRPr="00107CA4" w:rsidRDefault="00107CA4" w:rsidP="001E2184">
      <w:pPr>
        <w:pStyle w:val="NormalWeb"/>
        <w:numPr>
          <w:ilvl w:val="0"/>
          <w:numId w:val="1"/>
        </w:numPr>
        <w:spacing w:before="0" w:beforeAutospacing="0"/>
        <w:rPr>
          <w:rFonts w:ascii="Verdana" w:hAnsi="Verdana"/>
          <w:sz w:val="28"/>
          <w:szCs w:val="28"/>
        </w:rPr>
      </w:pPr>
      <w:r w:rsidRPr="00107CA4">
        <w:rPr>
          <w:rFonts w:ascii="Verdana" w:hAnsi="Verdana"/>
          <w:sz w:val="28"/>
          <w:szCs w:val="28"/>
        </w:rPr>
        <w:t>10 ILCs are currently utilizing the SPIL transition grant.</w:t>
      </w:r>
    </w:p>
    <w:p w14:paraId="14CBEF17" w14:textId="5D4273B1" w:rsidR="00107CA4" w:rsidRPr="00107CA4" w:rsidRDefault="00107CA4" w:rsidP="001E2184">
      <w:pPr>
        <w:pStyle w:val="NormalWeb"/>
        <w:numPr>
          <w:ilvl w:val="1"/>
          <w:numId w:val="1"/>
        </w:numPr>
        <w:spacing w:before="0" w:beforeAutospacing="0"/>
        <w:rPr>
          <w:rFonts w:ascii="Verdana" w:hAnsi="Verdana"/>
          <w:sz w:val="28"/>
          <w:szCs w:val="28"/>
        </w:rPr>
      </w:pPr>
      <w:r w:rsidRPr="00107CA4">
        <w:rPr>
          <w:rFonts w:ascii="Verdana" w:hAnsi="Verdana"/>
          <w:sz w:val="28"/>
          <w:szCs w:val="28"/>
        </w:rPr>
        <w:t>86 of 107, or 80.4%, consumers successfully met the Transition goals they set;</w:t>
      </w:r>
    </w:p>
    <w:p w14:paraId="596AD3B5" w14:textId="12648038" w:rsidR="00107CA4" w:rsidRPr="00107CA4" w:rsidRDefault="00107CA4" w:rsidP="001E2184">
      <w:pPr>
        <w:pStyle w:val="NormalWeb"/>
        <w:numPr>
          <w:ilvl w:val="1"/>
          <w:numId w:val="1"/>
        </w:numPr>
        <w:spacing w:before="0" w:beforeAutospacing="0"/>
        <w:rPr>
          <w:rFonts w:ascii="Verdana" w:hAnsi="Verdana"/>
          <w:sz w:val="28"/>
          <w:szCs w:val="28"/>
        </w:rPr>
      </w:pPr>
      <w:r w:rsidRPr="00107CA4">
        <w:rPr>
          <w:rFonts w:ascii="Verdana" w:hAnsi="Verdana"/>
          <w:sz w:val="28"/>
          <w:szCs w:val="28"/>
        </w:rPr>
        <w:t xml:space="preserve">40 of 47, or 85.1%, consumers successfully met the Diversion goals they set; </w:t>
      </w:r>
    </w:p>
    <w:p w14:paraId="6A8CA13F" w14:textId="4DB03E06" w:rsidR="001E2184" w:rsidRDefault="00107CA4" w:rsidP="001E2184">
      <w:pPr>
        <w:pStyle w:val="NormalWeb"/>
        <w:numPr>
          <w:ilvl w:val="1"/>
          <w:numId w:val="1"/>
        </w:numPr>
        <w:spacing w:before="0" w:beforeAutospacing="0" w:after="0" w:afterAutospacing="0"/>
        <w:rPr>
          <w:rFonts w:ascii="Verdana" w:hAnsi="Verdana"/>
          <w:sz w:val="28"/>
          <w:szCs w:val="28"/>
        </w:rPr>
      </w:pPr>
      <w:r w:rsidRPr="00107CA4">
        <w:rPr>
          <w:rFonts w:ascii="Verdana" w:hAnsi="Verdana"/>
          <w:sz w:val="28"/>
          <w:szCs w:val="28"/>
        </w:rPr>
        <w:t xml:space="preserve">The total amount of SPIL funding for these activities disbursed was $279,140, with an average per consumer expenditure of $1,899. </w:t>
      </w:r>
    </w:p>
    <w:p w14:paraId="7D4857C6" w14:textId="77777777" w:rsidR="001E2184" w:rsidRPr="001E2184" w:rsidRDefault="001E2184" w:rsidP="001E2184">
      <w:pPr>
        <w:pStyle w:val="NormalWeb"/>
        <w:spacing w:before="0" w:beforeAutospacing="0" w:after="0" w:afterAutospacing="0"/>
        <w:rPr>
          <w:rFonts w:ascii="Verdana" w:hAnsi="Verdana"/>
          <w:sz w:val="28"/>
          <w:szCs w:val="28"/>
        </w:rPr>
      </w:pPr>
    </w:p>
    <w:p w14:paraId="1439E0F9" w14:textId="17678FD7" w:rsidR="000814AB" w:rsidRPr="000107E2" w:rsidRDefault="009172B8" w:rsidP="001E2184">
      <w:pPr>
        <w:pStyle w:val="ListParagraph"/>
        <w:numPr>
          <w:ilvl w:val="0"/>
          <w:numId w:val="1"/>
        </w:numPr>
        <w:spacing w:line="240" w:lineRule="auto"/>
        <w:rPr>
          <w:rFonts w:ascii="Verdana" w:hAnsi="Verdana"/>
          <w:sz w:val="28"/>
          <w:szCs w:val="28"/>
        </w:rPr>
      </w:pPr>
      <w:r w:rsidRPr="009172B8">
        <w:rPr>
          <w:rFonts w:ascii="Verdana" w:hAnsi="Verdana"/>
          <w:sz w:val="28"/>
          <w:szCs w:val="28"/>
        </w:rPr>
        <w:t>ILCs</w:t>
      </w:r>
      <w:r>
        <w:rPr>
          <w:rFonts w:ascii="Verdana" w:hAnsi="Verdana"/>
          <w:sz w:val="28"/>
          <w:szCs w:val="28"/>
        </w:rPr>
        <w:t xml:space="preserve"> spent more </w:t>
      </w:r>
      <w:r w:rsidR="00F07179">
        <w:rPr>
          <w:rFonts w:ascii="Verdana" w:hAnsi="Verdana"/>
          <w:sz w:val="28"/>
          <w:szCs w:val="28"/>
        </w:rPr>
        <w:t>than</w:t>
      </w:r>
      <w:r>
        <w:rPr>
          <w:rFonts w:ascii="Verdana" w:hAnsi="Verdana"/>
          <w:sz w:val="28"/>
          <w:szCs w:val="28"/>
        </w:rPr>
        <w:t xml:space="preserve"> 7</w:t>
      </w:r>
      <w:r w:rsidR="00867E42">
        <w:rPr>
          <w:rFonts w:ascii="Verdana" w:hAnsi="Verdana"/>
          <w:sz w:val="28"/>
          <w:szCs w:val="28"/>
        </w:rPr>
        <w:t>,</w:t>
      </w:r>
      <w:r>
        <w:rPr>
          <w:rFonts w:ascii="Verdana" w:hAnsi="Verdana"/>
          <w:sz w:val="28"/>
          <w:szCs w:val="28"/>
        </w:rPr>
        <w:t xml:space="preserve">948 hours addressing systems </w:t>
      </w:r>
      <w:r w:rsidRPr="000107E2">
        <w:rPr>
          <w:rFonts w:ascii="Verdana" w:hAnsi="Verdana"/>
          <w:sz w:val="28"/>
          <w:szCs w:val="28"/>
        </w:rPr>
        <w:t>change advocacy.</w:t>
      </w:r>
    </w:p>
    <w:p w14:paraId="3A1B1980" w14:textId="77777777" w:rsidR="00F07179" w:rsidRDefault="00F07179" w:rsidP="001E2184">
      <w:pPr>
        <w:pStyle w:val="ListParagraph"/>
        <w:spacing w:line="240" w:lineRule="auto"/>
        <w:rPr>
          <w:rFonts w:ascii="Verdana" w:hAnsi="Verdana"/>
          <w:sz w:val="28"/>
          <w:szCs w:val="28"/>
        </w:rPr>
      </w:pPr>
    </w:p>
    <w:p w14:paraId="53D1ABC2" w14:textId="513791F2" w:rsidR="00107CA4" w:rsidRPr="00107CA4" w:rsidRDefault="009172B8" w:rsidP="001E2184">
      <w:pPr>
        <w:pStyle w:val="ListParagraph"/>
        <w:numPr>
          <w:ilvl w:val="0"/>
          <w:numId w:val="1"/>
        </w:numPr>
        <w:spacing w:line="240" w:lineRule="auto"/>
        <w:rPr>
          <w:rFonts w:ascii="Verdana" w:hAnsi="Verdana"/>
          <w:sz w:val="28"/>
          <w:szCs w:val="28"/>
        </w:rPr>
      </w:pPr>
      <w:r>
        <w:rPr>
          <w:rFonts w:ascii="Verdana" w:hAnsi="Verdana"/>
          <w:sz w:val="28"/>
          <w:szCs w:val="28"/>
        </w:rPr>
        <w:t>ILCs spent more than 13,264 hours providing education and outreach about IL services in the community.</w:t>
      </w:r>
    </w:p>
    <w:p w14:paraId="39802684" w14:textId="2A5F6711" w:rsidR="001E2184" w:rsidRDefault="00107CA4" w:rsidP="00C6491C">
      <w:pPr>
        <w:pStyle w:val="NormalWeb"/>
        <w:numPr>
          <w:ilvl w:val="1"/>
          <w:numId w:val="1"/>
        </w:numPr>
        <w:spacing w:before="0" w:beforeAutospacing="0" w:after="0" w:afterAutospacing="0"/>
        <w:rPr>
          <w:rFonts w:ascii="Verdana" w:hAnsi="Verdana"/>
          <w:sz w:val="28"/>
          <w:szCs w:val="28"/>
        </w:rPr>
      </w:pPr>
      <w:r w:rsidRPr="001E2184">
        <w:rPr>
          <w:rFonts w:ascii="Verdana" w:hAnsi="Verdana"/>
          <w:sz w:val="28"/>
          <w:szCs w:val="28"/>
        </w:rPr>
        <w:t>The activities which are counted toward these hours include providing technical assistance to local businesses in website or physical accessibility or reasonable accommodations for employees with disabilities, providing information at public events such as chamber mixers, educational institutions, resource or employment fairs, providing information to the community by speaking at social clubs, social events or local businesses about accessibility, core services and IL philosophy</w:t>
      </w:r>
      <w:r w:rsidR="001E2184">
        <w:rPr>
          <w:rFonts w:ascii="Verdana" w:hAnsi="Verdana"/>
          <w:sz w:val="28"/>
          <w:szCs w:val="28"/>
        </w:rPr>
        <w:t>.</w:t>
      </w:r>
    </w:p>
    <w:p w14:paraId="2901BA3D" w14:textId="77777777" w:rsidR="001E2184" w:rsidRPr="001E2184" w:rsidRDefault="001E2184" w:rsidP="001E2184">
      <w:pPr>
        <w:pStyle w:val="NormalWeb"/>
        <w:spacing w:before="0" w:beforeAutospacing="0" w:after="0" w:afterAutospacing="0"/>
        <w:ind w:left="360"/>
        <w:rPr>
          <w:rFonts w:ascii="Verdana" w:hAnsi="Verdana"/>
          <w:sz w:val="28"/>
          <w:szCs w:val="28"/>
        </w:rPr>
      </w:pPr>
    </w:p>
    <w:p w14:paraId="6B1845E3" w14:textId="42527F71" w:rsidR="009614EA" w:rsidRDefault="009172B8" w:rsidP="00713E9F">
      <w:pPr>
        <w:pStyle w:val="ListParagraph"/>
        <w:numPr>
          <w:ilvl w:val="0"/>
          <w:numId w:val="1"/>
        </w:numPr>
        <w:spacing w:line="240" w:lineRule="auto"/>
        <w:rPr>
          <w:rFonts w:ascii="Verdana" w:hAnsi="Verdana"/>
          <w:sz w:val="28"/>
          <w:szCs w:val="28"/>
        </w:rPr>
      </w:pPr>
      <w:r>
        <w:rPr>
          <w:rFonts w:ascii="Verdana" w:hAnsi="Verdana"/>
          <w:sz w:val="28"/>
          <w:szCs w:val="28"/>
        </w:rPr>
        <w:t>ILCs spent more than 7,320 hours collaborating with other organizations and agencies.</w:t>
      </w:r>
    </w:p>
    <w:p w14:paraId="71EFDE40" w14:textId="745D53F1" w:rsidR="001E2184" w:rsidRPr="001E2184" w:rsidRDefault="001E2184" w:rsidP="00713E9F">
      <w:pPr>
        <w:pStyle w:val="NormalWeb"/>
        <w:numPr>
          <w:ilvl w:val="1"/>
          <w:numId w:val="1"/>
        </w:numPr>
        <w:spacing w:before="0" w:beforeAutospacing="0" w:after="0" w:afterAutospacing="0"/>
        <w:rPr>
          <w:rFonts w:ascii="Verdana" w:hAnsi="Verdana"/>
          <w:sz w:val="28"/>
          <w:szCs w:val="28"/>
        </w:rPr>
      </w:pPr>
      <w:r w:rsidRPr="000107E2">
        <w:rPr>
          <w:rFonts w:ascii="Verdana" w:hAnsi="Verdana"/>
          <w:sz w:val="28"/>
          <w:szCs w:val="28"/>
        </w:rPr>
        <w:t xml:space="preserve">partner organizations </w:t>
      </w:r>
      <w:r>
        <w:rPr>
          <w:rFonts w:ascii="Verdana" w:hAnsi="Verdana"/>
          <w:sz w:val="28"/>
          <w:szCs w:val="28"/>
        </w:rPr>
        <w:t>examples are CFILC,</w:t>
      </w:r>
      <w:r w:rsidRPr="000107E2">
        <w:rPr>
          <w:rFonts w:ascii="Verdana" w:hAnsi="Verdana"/>
          <w:sz w:val="28"/>
          <w:szCs w:val="28"/>
        </w:rPr>
        <w:t xml:space="preserve"> IHSS, County Mental Health, </w:t>
      </w:r>
      <w:r w:rsidR="009647A6">
        <w:rPr>
          <w:rFonts w:ascii="Verdana" w:hAnsi="Verdana"/>
          <w:sz w:val="28"/>
          <w:szCs w:val="28"/>
        </w:rPr>
        <w:t>V</w:t>
      </w:r>
      <w:r w:rsidRPr="000107E2">
        <w:rPr>
          <w:rFonts w:ascii="Verdana" w:hAnsi="Verdana"/>
          <w:sz w:val="28"/>
          <w:szCs w:val="28"/>
        </w:rPr>
        <w:t xml:space="preserve">ocational </w:t>
      </w:r>
      <w:r w:rsidR="009647A6">
        <w:rPr>
          <w:rFonts w:ascii="Verdana" w:hAnsi="Verdana"/>
          <w:sz w:val="28"/>
          <w:szCs w:val="28"/>
        </w:rPr>
        <w:t>R</w:t>
      </w:r>
      <w:r w:rsidRPr="000107E2">
        <w:rPr>
          <w:rFonts w:ascii="Verdana" w:hAnsi="Verdana"/>
          <w:sz w:val="28"/>
          <w:szCs w:val="28"/>
        </w:rPr>
        <w:t>ehabilitation, homeless shelters, Skilled Nursing Facilities (SNFs) and disaster preparedness organizations to ensure accessibility to a full range of services for people with a wide</w:t>
      </w:r>
      <w:r w:rsidR="001E5A21">
        <w:rPr>
          <w:rFonts w:ascii="Verdana" w:hAnsi="Verdana"/>
          <w:sz w:val="28"/>
          <w:szCs w:val="28"/>
        </w:rPr>
        <w:t xml:space="preserve"> </w:t>
      </w:r>
      <w:r w:rsidRPr="000107E2">
        <w:rPr>
          <w:rFonts w:ascii="Verdana" w:hAnsi="Verdana"/>
          <w:sz w:val="28"/>
          <w:szCs w:val="28"/>
        </w:rPr>
        <w:t>range of disabilities</w:t>
      </w:r>
      <w:r w:rsidR="009647A6">
        <w:rPr>
          <w:rFonts w:ascii="Verdana" w:hAnsi="Verdana"/>
          <w:sz w:val="28"/>
          <w:szCs w:val="28"/>
        </w:rPr>
        <w:t>.</w:t>
      </w:r>
    </w:p>
    <w:p w14:paraId="134053C2" w14:textId="77777777" w:rsidR="004F22C6" w:rsidRPr="004F22C6" w:rsidRDefault="004F22C6" w:rsidP="001E2184">
      <w:pPr>
        <w:pStyle w:val="ListParagraph"/>
        <w:spacing w:line="240" w:lineRule="auto"/>
        <w:rPr>
          <w:rFonts w:ascii="Verdana" w:hAnsi="Verdana"/>
          <w:sz w:val="28"/>
          <w:szCs w:val="28"/>
        </w:rPr>
      </w:pPr>
    </w:p>
    <w:p w14:paraId="42B0C9F3" w14:textId="7097F2AA" w:rsidR="004F22C6" w:rsidRDefault="004F22C6" w:rsidP="00713E9F">
      <w:pPr>
        <w:pStyle w:val="ListParagraph"/>
        <w:numPr>
          <w:ilvl w:val="0"/>
          <w:numId w:val="1"/>
        </w:numPr>
        <w:spacing w:line="240" w:lineRule="auto"/>
        <w:rPr>
          <w:rFonts w:ascii="Verdana" w:hAnsi="Verdana"/>
          <w:sz w:val="28"/>
          <w:szCs w:val="28"/>
        </w:rPr>
      </w:pPr>
      <w:r>
        <w:rPr>
          <w:rFonts w:ascii="Verdana" w:hAnsi="Verdana"/>
          <w:sz w:val="28"/>
          <w:szCs w:val="28"/>
        </w:rPr>
        <w:t>CA ILCs reported a variety of challenges they experienced which may have prevented them from providing services as they planned at the beginning of the year.  Challenges mentioned were:</w:t>
      </w:r>
    </w:p>
    <w:p w14:paraId="4FEF8929" w14:textId="4DCE6C15" w:rsidR="004F22C6" w:rsidRPr="00713E9F" w:rsidRDefault="004F22C6" w:rsidP="00713E9F">
      <w:pPr>
        <w:pStyle w:val="ListParagraph"/>
        <w:numPr>
          <w:ilvl w:val="1"/>
          <w:numId w:val="1"/>
        </w:numPr>
        <w:spacing w:before="240" w:line="240" w:lineRule="auto"/>
        <w:rPr>
          <w:rFonts w:ascii="Verdana" w:hAnsi="Verdana"/>
          <w:sz w:val="28"/>
          <w:szCs w:val="28"/>
        </w:rPr>
      </w:pPr>
      <w:r w:rsidRPr="00713E9F">
        <w:rPr>
          <w:rFonts w:ascii="Verdana" w:hAnsi="Verdana"/>
          <w:sz w:val="28"/>
          <w:szCs w:val="28"/>
        </w:rPr>
        <w:t>Coronavirus-19 Pandemic (transitioning to remote services, ability to provide technology to all staff, limited guidance on CARES Act funding, and changing needs of consumers);</w:t>
      </w:r>
    </w:p>
    <w:p w14:paraId="0053DAB0" w14:textId="36416F09" w:rsidR="004F22C6" w:rsidRDefault="004F22C6" w:rsidP="001E2184">
      <w:pPr>
        <w:pStyle w:val="ListParagraph"/>
        <w:numPr>
          <w:ilvl w:val="1"/>
          <w:numId w:val="1"/>
        </w:numPr>
        <w:spacing w:line="240" w:lineRule="auto"/>
        <w:rPr>
          <w:rFonts w:ascii="Verdana" w:hAnsi="Verdana"/>
          <w:sz w:val="28"/>
          <w:szCs w:val="28"/>
        </w:rPr>
      </w:pPr>
      <w:r>
        <w:rPr>
          <w:rFonts w:ascii="Verdana" w:hAnsi="Verdana"/>
          <w:sz w:val="28"/>
          <w:szCs w:val="28"/>
        </w:rPr>
        <w:t>Lack of affordable, accessible, and available housing throughout the state;</w:t>
      </w:r>
    </w:p>
    <w:p w14:paraId="074D85E3" w14:textId="6CBD84F6" w:rsidR="004F22C6" w:rsidRDefault="004F22C6" w:rsidP="001E2184">
      <w:pPr>
        <w:pStyle w:val="ListParagraph"/>
        <w:numPr>
          <w:ilvl w:val="1"/>
          <w:numId w:val="1"/>
        </w:numPr>
        <w:spacing w:line="240" w:lineRule="auto"/>
        <w:rPr>
          <w:rFonts w:ascii="Verdana" w:hAnsi="Verdana"/>
          <w:sz w:val="28"/>
          <w:szCs w:val="28"/>
        </w:rPr>
      </w:pPr>
      <w:r>
        <w:rPr>
          <w:rFonts w:ascii="Verdana" w:hAnsi="Verdana"/>
          <w:sz w:val="28"/>
          <w:szCs w:val="28"/>
        </w:rPr>
        <w:t>Limited access to accessible transportation services in the community;</w:t>
      </w:r>
    </w:p>
    <w:p w14:paraId="589841D7" w14:textId="5D45DFBD" w:rsidR="004F22C6" w:rsidRDefault="004F22C6" w:rsidP="001E2184">
      <w:pPr>
        <w:pStyle w:val="ListParagraph"/>
        <w:numPr>
          <w:ilvl w:val="1"/>
          <w:numId w:val="1"/>
        </w:numPr>
        <w:spacing w:line="240" w:lineRule="auto"/>
        <w:rPr>
          <w:rFonts w:ascii="Verdana" w:hAnsi="Verdana"/>
          <w:sz w:val="28"/>
          <w:szCs w:val="28"/>
        </w:rPr>
      </w:pPr>
      <w:r>
        <w:rPr>
          <w:rFonts w:ascii="Verdana" w:hAnsi="Verdana"/>
          <w:sz w:val="28"/>
          <w:szCs w:val="28"/>
        </w:rPr>
        <w:t>Limited funding of ILCs;</w:t>
      </w:r>
    </w:p>
    <w:p w14:paraId="5CA53784" w14:textId="4B06B678" w:rsidR="009647A6" w:rsidRDefault="009647A6" w:rsidP="001E2184">
      <w:pPr>
        <w:pStyle w:val="ListParagraph"/>
        <w:numPr>
          <w:ilvl w:val="1"/>
          <w:numId w:val="1"/>
        </w:numPr>
        <w:spacing w:line="240" w:lineRule="auto"/>
        <w:rPr>
          <w:rFonts w:ascii="Verdana" w:hAnsi="Verdana"/>
          <w:sz w:val="28"/>
          <w:szCs w:val="28"/>
        </w:rPr>
      </w:pPr>
      <w:r>
        <w:rPr>
          <w:rFonts w:ascii="Verdana" w:hAnsi="Verdana"/>
          <w:sz w:val="28"/>
          <w:szCs w:val="28"/>
        </w:rPr>
        <w:t>Changing staffing of ILCs;</w:t>
      </w:r>
    </w:p>
    <w:p w14:paraId="5B92FB73" w14:textId="08A3118C" w:rsidR="009647A6" w:rsidRDefault="001E5A21" w:rsidP="001E2184">
      <w:pPr>
        <w:pStyle w:val="ListParagraph"/>
        <w:numPr>
          <w:ilvl w:val="1"/>
          <w:numId w:val="1"/>
        </w:numPr>
        <w:spacing w:line="240" w:lineRule="auto"/>
        <w:rPr>
          <w:rFonts w:ascii="Verdana" w:hAnsi="Verdana"/>
          <w:sz w:val="28"/>
          <w:szCs w:val="28"/>
        </w:rPr>
      </w:pPr>
      <w:r>
        <w:rPr>
          <w:rFonts w:ascii="Verdana" w:hAnsi="Verdana"/>
          <w:sz w:val="28"/>
          <w:szCs w:val="28"/>
        </w:rPr>
        <w:t xml:space="preserve">Need to address </w:t>
      </w:r>
      <w:r w:rsidR="009647A6">
        <w:rPr>
          <w:rFonts w:ascii="Verdana" w:hAnsi="Verdana"/>
          <w:sz w:val="28"/>
          <w:szCs w:val="28"/>
        </w:rPr>
        <w:t>Emergency Preparedness</w:t>
      </w:r>
      <w:r>
        <w:rPr>
          <w:rFonts w:ascii="Verdana" w:hAnsi="Verdana"/>
          <w:sz w:val="28"/>
          <w:szCs w:val="28"/>
        </w:rPr>
        <w:t xml:space="preserve"> of consumers and ILC</w:t>
      </w:r>
      <w:r w:rsidR="009647A6">
        <w:rPr>
          <w:rFonts w:ascii="Verdana" w:hAnsi="Verdana"/>
          <w:sz w:val="28"/>
          <w:szCs w:val="28"/>
        </w:rPr>
        <w:t>;</w:t>
      </w:r>
    </w:p>
    <w:p w14:paraId="34E90E4D" w14:textId="07337CC2" w:rsidR="004F22C6" w:rsidRDefault="009647A6" w:rsidP="001E2184">
      <w:pPr>
        <w:pStyle w:val="ListParagraph"/>
        <w:numPr>
          <w:ilvl w:val="1"/>
          <w:numId w:val="1"/>
        </w:numPr>
        <w:spacing w:line="240" w:lineRule="auto"/>
        <w:rPr>
          <w:rFonts w:ascii="Verdana" w:hAnsi="Verdana"/>
          <w:sz w:val="28"/>
          <w:szCs w:val="28"/>
        </w:rPr>
      </w:pPr>
      <w:r>
        <w:rPr>
          <w:rFonts w:ascii="Verdana" w:hAnsi="Verdana"/>
          <w:sz w:val="28"/>
          <w:szCs w:val="28"/>
        </w:rPr>
        <w:t>Addressing s</w:t>
      </w:r>
      <w:r w:rsidR="004F22C6">
        <w:rPr>
          <w:rFonts w:ascii="Verdana" w:hAnsi="Verdana"/>
          <w:sz w:val="28"/>
          <w:szCs w:val="28"/>
        </w:rPr>
        <w:t>ocial isolation</w:t>
      </w:r>
      <w:r>
        <w:rPr>
          <w:rFonts w:ascii="Verdana" w:hAnsi="Verdana"/>
          <w:sz w:val="28"/>
          <w:szCs w:val="28"/>
        </w:rPr>
        <w:t xml:space="preserve"> of consumers</w:t>
      </w:r>
      <w:r w:rsidR="004F22C6">
        <w:rPr>
          <w:rFonts w:ascii="Verdana" w:hAnsi="Verdana"/>
          <w:sz w:val="28"/>
          <w:szCs w:val="28"/>
        </w:rPr>
        <w:t>; and</w:t>
      </w:r>
    </w:p>
    <w:p w14:paraId="73A0884D" w14:textId="1D4316FA" w:rsidR="004F22C6" w:rsidRPr="00713E9F" w:rsidRDefault="004F22C6" w:rsidP="001E2184">
      <w:pPr>
        <w:pStyle w:val="ListParagraph"/>
        <w:numPr>
          <w:ilvl w:val="1"/>
          <w:numId w:val="1"/>
        </w:numPr>
        <w:spacing w:line="240" w:lineRule="auto"/>
        <w:rPr>
          <w:rFonts w:ascii="Verdana" w:hAnsi="Verdana"/>
          <w:sz w:val="28"/>
          <w:szCs w:val="28"/>
        </w:rPr>
      </w:pPr>
      <w:r>
        <w:rPr>
          <w:rFonts w:ascii="Verdana" w:hAnsi="Verdana"/>
          <w:sz w:val="28"/>
          <w:szCs w:val="28"/>
        </w:rPr>
        <w:t>Lack of digital access in community.</w:t>
      </w:r>
    </w:p>
    <w:p w14:paraId="40473A85" w14:textId="41921C4B" w:rsidR="009614EA" w:rsidRDefault="00E25FA0" w:rsidP="00E25FA0">
      <w:pPr>
        <w:pStyle w:val="Heading1"/>
        <w:rPr>
          <w:rFonts w:ascii="Verdana" w:hAnsi="Verdana"/>
          <w:b/>
          <w:bCs/>
          <w:color w:val="auto"/>
          <w:sz w:val="28"/>
          <w:szCs w:val="28"/>
        </w:rPr>
      </w:pPr>
      <w:r w:rsidRPr="00CF2165">
        <w:rPr>
          <w:rFonts w:ascii="Verdana" w:hAnsi="Verdana"/>
          <w:b/>
          <w:bCs/>
          <w:color w:val="auto"/>
          <w:sz w:val="28"/>
          <w:szCs w:val="28"/>
        </w:rPr>
        <w:t>Observations and Recommendations</w:t>
      </w:r>
    </w:p>
    <w:p w14:paraId="1D5436A6" w14:textId="77777777" w:rsidR="00CF2165" w:rsidRPr="00CF2165" w:rsidRDefault="00CF2165" w:rsidP="00CF2165">
      <w:pPr>
        <w:spacing w:after="0"/>
      </w:pPr>
    </w:p>
    <w:p w14:paraId="15E22820" w14:textId="313978BE" w:rsidR="00EC5F97" w:rsidRDefault="00713E9F" w:rsidP="00EC5F97">
      <w:pPr>
        <w:pStyle w:val="ListParagraph"/>
        <w:numPr>
          <w:ilvl w:val="0"/>
          <w:numId w:val="2"/>
        </w:numPr>
        <w:spacing w:after="0"/>
        <w:rPr>
          <w:rFonts w:ascii="Verdana" w:hAnsi="Verdana"/>
          <w:sz w:val="28"/>
          <w:szCs w:val="28"/>
        </w:rPr>
      </w:pPr>
      <w:r>
        <w:rPr>
          <w:rFonts w:ascii="Verdana" w:hAnsi="Verdana"/>
          <w:sz w:val="28"/>
          <w:szCs w:val="28"/>
        </w:rPr>
        <w:t xml:space="preserve">The SILC should work annually to collect PPR data from the ILCs, with a goal of receiving PPR’s as required per the Rehabilitation Act from all </w:t>
      </w:r>
      <w:r w:rsidR="00EC5F97">
        <w:rPr>
          <w:rFonts w:ascii="Verdana" w:hAnsi="Verdana"/>
          <w:sz w:val="28"/>
          <w:szCs w:val="28"/>
        </w:rPr>
        <w:t xml:space="preserve">28 ILCs in the state.  This will allow the SILC staff to do a comparison </w:t>
      </w:r>
      <w:r w:rsidR="001E5A21">
        <w:rPr>
          <w:rFonts w:ascii="Verdana" w:hAnsi="Verdana"/>
          <w:sz w:val="28"/>
          <w:szCs w:val="28"/>
        </w:rPr>
        <w:t xml:space="preserve">from </w:t>
      </w:r>
      <w:r w:rsidR="00EC5F97">
        <w:rPr>
          <w:rFonts w:ascii="Verdana" w:hAnsi="Verdana"/>
          <w:sz w:val="28"/>
          <w:szCs w:val="28"/>
        </w:rPr>
        <w:t>year to year going forward and will better help us determine if SPIL goals are being met, or whether there are trends to be aware of.</w:t>
      </w:r>
    </w:p>
    <w:p w14:paraId="161E77D5" w14:textId="1C3C1077" w:rsidR="00EC5F97" w:rsidRDefault="00EC5F97" w:rsidP="00EC5F97">
      <w:pPr>
        <w:pStyle w:val="ListParagraph"/>
        <w:numPr>
          <w:ilvl w:val="1"/>
          <w:numId w:val="2"/>
        </w:numPr>
        <w:spacing w:after="0"/>
        <w:rPr>
          <w:rFonts w:ascii="Verdana" w:hAnsi="Verdana"/>
          <w:sz w:val="28"/>
          <w:szCs w:val="28"/>
        </w:rPr>
      </w:pPr>
      <w:r>
        <w:rPr>
          <w:rFonts w:ascii="Verdana" w:hAnsi="Verdana"/>
          <w:sz w:val="28"/>
          <w:szCs w:val="28"/>
        </w:rPr>
        <w:t>SILC members might facilitate this by building relationships with ILC Eds throughout the year and to encourage submission of PPR report to SILC annually.</w:t>
      </w:r>
    </w:p>
    <w:p w14:paraId="4750618C" w14:textId="77777777" w:rsidR="00EC5F97" w:rsidRPr="00EC5F97" w:rsidRDefault="00EC5F97" w:rsidP="00EC5F97">
      <w:pPr>
        <w:spacing w:after="0"/>
        <w:rPr>
          <w:rFonts w:ascii="Verdana" w:hAnsi="Verdana"/>
          <w:sz w:val="28"/>
          <w:szCs w:val="28"/>
        </w:rPr>
      </w:pPr>
    </w:p>
    <w:p w14:paraId="63EB717C" w14:textId="52771020" w:rsidR="00E25FA0" w:rsidRDefault="00E25FA0" w:rsidP="00EC5F97">
      <w:pPr>
        <w:pStyle w:val="ListParagraph"/>
        <w:numPr>
          <w:ilvl w:val="0"/>
          <w:numId w:val="2"/>
        </w:numPr>
        <w:rPr>
          <w:rFonts w:ascii="Verdana" w:hAnsi="Verdana"/>
          <w:sz w:val="28"/>
          <w:szCs w:val="28"/>
        </w:rPr>
      </w:pPr>
      <w:r w:rsidRPr="00E25FA0">
        <w:rPr>
          <w:rFonts w:ascii="Verdana" w:hAnsi="Verdana"/>
          <w:sz w:val="28"/>
          <w:szCs w:val="28"/>
        </w:rPr>
        <w:t>CA ILCs reported robust services and activities throughout the year.  The data the SILC gathered through review of the PPRs demonstrate that people with disabilities across our state benefit from the services and activities of the ILCs and offered through SPIL funding</w:t>
      </w:r>
      <w:r w:rsidR="001E5A21">
        <w:rPr>
          <w:rFonts w:ascii="Verdana" w:hAnsi="Verdana"/>
          <w:sz w:val="28"/>
          <w:szCs w:val="28"/>
        </w:rPr>
        <w:t>.</w:t>
      </w:r>
    </w:p>
    <w:p w14:paraId="33EF03DD" w14:textId="77777777" w:rsidR="00CF2165" w:rsidRPr="00E25FA0" w:rsidRDefault="00CF2165" w:rsidP="00CF2165">
      <w:pPr>
        <w:pStyle w:val="ListParagraph"/>
        <w:rPr>
          <w:rFonts w:ascii="Verdana" w:hAnsi="Verdana"/>
          <w:sz w:val="28"/>
          <w:szCs w:val="28"/>
        </w:rPr>
      </w:pPr>
    </w:p>
    <w:p w14:paraId="3BA96969" w14:textId="04D9E77F" w:rsidR="00E25FA0" w:rsidRDefault="00E25FA0" w:rsidP="00E25FA0">
      <w:pPr>
        <w:pStyle w:val="ListParagraph"/>
        <w:numPr>
          <w:ilvl w:val="0"/>
          <w:numId w:val="2"/>
        </w:numPr>
        <w:rPr>
          <w:rFonts w:ascii="Verdana" w:hAnsi="Verdana"/>
          <w:sz w:val="28"/>
          <w:szCs w:val="28"/>
        </w:rPr>
      </w:pPr>
      <w:r w:rsidRPr="00E25FA0">
        <w:rPr>
          <w:rFonts w:ascii="Verdana" w:hAnsi="Verdana"/>
          <w:sz w:val="28"/>
          <w:szCs w:val="28"/>
        </w:rPr>
        <w:t>Having freedom of choice, avoiding institutionalization, and having the experiences of living, working, learning</w:t>
      </w:r>
      <w:r w:rsidR="001E5A21">
        <w:rPr>
          <w:rFonts w:ascii="Verdana" w:hAnsi="Verdana"/>
          <w:sz w:val="28"/>
          <w:szCs w:val="28"/>
        </w:rPr>
        <w:t>,</w:t>
      </w:r>
      <w:r w:rsidRPr="00E25FA0">
        <w:rPr>
          <w:rFonts w:ascii="Verdana" w:hAnsi="Verdana"/>
          <w:sz w:val="28"/>
          <w:szCs w:val="28"/>
        </w:rPr>
        <w:t xml:space="preserve"> and playing in the community are often made possible only because of the services and activities provided by SPIL funded activities</w:t>
      </w:r>
      <w:r>
        <w:rPr>
          <w:rFonts w:ascii="Verdana" w:hAnsi="Verdana"/>
          <w:sz w:val="28"/>
          <w:szCs w:val="28"/>
        </w:rPr>
        <w:t xml:space="preserve"> (Tier Augmentations, Transition/Diversion Fund, Systems Change grant)</w:t>
      </w:r>
      <w:r w:rsidR="001E5A21">
        <w:rPr>
          <w:rFonts w:ascii="Verdana" w:hAnsi="Verdana"/>
          <w:sz w:val="28"/>
          <w:szCs w:val="28"/>
        </w:rPr>
        <w:t>.</w:t>
      </w:r>
    </w:p>
    <w:p w14:paraId="5FDDBE0A" w14:textId="77777777" w:rsidR="00CF2165" w:rsidRPr="00CF2165" w:rsidRDefault="00CF2165" w:rsidP="00CF2165">
      <w:pPr>
        <w:pStyle w:val="ListParagraph"/>
        <w:rPr>
          <w:rFonts w:ascii="Verdana" w:hAnsi="Verdana"/>
          <w:sz w:val="28"/>
          <w:szCs w:val="28"/>
        </w:rPr>
      </w:pPr>
    </w:p>
    <w:p w14:paraId="6665864A" w14:textId="7F2C7882" w:rsidR="00CF2165" w:rsidRDefault="00CF2165" w:rsidP="00E25FA0">
      <w:pPr>
        <w:pStyle w:val="ListParagraph"/>
        <w:numPr>
          <w:ilvl w:val="0"/>
          <w:numId w:val="2"/>
        </w:numPr>
        <w:rPr>
          <w:rFonts w:ascii="Verdana" w:hAnsi="Verdana"/>
          <w:sz w:val="28"/>
          <w:szCs w:val="28"/>
        </w:rPr>
      </w:pPr>
      <w:r>
        <w:rPr>
          <w:rFonts w:ascii="Verdana" w:hAnsi="Verdana"/>
          <w:sz w:val="28"/>
          <w:szCs w:val="28"/>
        </w:rPr>
        <w:t xml:space="preserve">Both the DOR and SILC members should make a concerted effort to promote the use of the transition/diversion fund to ILCs and to gather information about why they may not already be utilizing the funding with the purpose of </w:t>
      </w:r>
      <w:r w:rsidR="00713E9F">
        <w:rPr>
          <w:rFonts w:ascii="Verdana" w:hAnsi="Verdana"/>
          <w:sz w:val="28"/>
          <w:szCs w:val="28"/>
        </w:rPr>
        <w:t>increasing transitions throughout the state</w:t>
      </w:r>
      <w:r w:rsidR="001E5A21">
        <w:rPr>
          <w:rFonts w:ascii="Verdana" w:hAnsi="Verdana"/>
          <w:sz w:val="28"/>
          <w:szCs w:val="28"/>
        </w:rPr>
        <w:t>.</w:t>
      </w:r>
    </w:p>
    <w:p w14:paraId="42A88FC7" w14:textId="77777777" w:rsidR="00CF2165" w:rsidRPr="00CF2165" w:rsidRDefault="00CF2165" w:rsidP="00CF2165">
      <w:pPr>
        <w:pStyle w:val="ListParagraph"/>
        <w:rPr>
          <w:rFonts w:ascii="Verdana" w:hAnsi="Verdana"/>
          <w:sz w:val="28"/>
          <w:szCs w:val="28"/>
        </w:rPr>
      </w:pPr>
    </w:p>
    <w:p w14:paraId="0920995F" w14:textId="0B041BEE" w:rsidR="00CF2165" w:rsidRDefault="00713E9F" w:rsidP="00E25FA0">
      <w:pPr>
        <w:pStyle w:val="ListParagraph"/>
        <w:numPr>
          <w:ilvl w:val="0"/>
          <w:numId w:val="2"/>
        </w:numPr>
        <w:rPr>
          <w:rFonts w:ascii="Verdana" w:hAnsi="Verdana"/>
          <w:sz w:val="28"/>
          <w:szCs w:val="28"/>
        </w:rPr>
      </w:pPr>
      <w:r>
        <w:rPr>
          <w:rFonts w:ascii="Verdana" w:hAnsi="Verdana"/>
          <w:sz w:val="28"/>
          <w:szCs w:val="28"/>
        </w:rPr>
        <w:t xml:space="preserve">Transition/diversions often involve home modification.  The </w:t>
      </w:r>
      <w:r w:rsidR="00510897">
        <w:rPr>
          <w:rFonts w:ascii="Verdana" w:hAnsi="Verdana"/>
          <w:sz w:val="28"/>
          <w:szCs w:val="28"/>
        </w:rPr>
        <w:t>state IL Network in collaboration with the SPIL work groups</w:t>
      </w:r>
      <w:r>
        <w:rPr>
          <w:rFonts w:ascii="Verdana" w:hAnsi="Verdana"/>
          <w:sz w:val="28"/>
          <w:szCs w:val="28"/>
        </w:rPr>
        <w:t xml:space="preserve"> might consider adding a separate SPIL goal in the next SPIL for home modifications/physical accessibility and devoting Title VIIB funding for this purpose</w:t>
      </w:r>
      <w:r w:rsidR="001E5A21">
        <w:rPr>
          <w:rFonts w:ascii="Verdana" w:hAnsi="Verdana"/>
          <w:sz w:val="28"/>
          <w:szCs w:val="28"/>
        </w:rPr>
        <w:t>.</w:t>
      </w:r>
    </w:p>
    <w:p w14:paraId="51D5C119" w14:textId="77777777" w:rsidR="00713E9F" w:rsidRPr="00713E9F" w:rsidRDefault="00713E9F" w:rsidP="00713E9F">
      <w:pPr>
        <w:pStyle w:val="ListParagraph"/>
        <w:rPr>
          <w:rFonts w:ascii="Verdana" w:hAnsi="Verdana"/>
          <w:sz w:val="28"/>
          <w:szCs w:val="28"/>
        </w:rPr>
      </w:pPr>
    </w:p>
    <w:p w14:paraId="5766F956" w14:textId="7AC90834" w:rsidR="00713E9F" w:rsidRDefault="00713E9F" w:rsidP="00713E9F">
      <w:pPr>
        <w:pStyle w:val="ListParagraph"/>
        <w:numPr>
          <w:ilvl w:val="0"/>
          <w:numId w:val="2"/>
        </w:numPr>
        <w:spacing w:before="240"/>
        <w:rPr>
          <w:rFonts w:ascii="Verdana" w:hAnsi="Verdana"/>
          <w:sz w:val="28"/>
          <w:szCs w:val="28"/>
        </w:rPr>
      </w:pPr>
      <w:r>
        <w:rPr>
          <w:rFonts w:ascii="Verdana" w:hAnsi="Verdana"/>
          <w:sz w:val="28"/>
          <w:szCs w:val="28"/>
        </w:rPr>
        <w:t xml:space="preserve">Demographics across the state vary, but statewide outreach efforts should be targeted at reaching more people who experience </w:t>
      </w:r>
      <w:r w:rsidR="00510897">
        <w:rPr>
          <w:rFonts w:ascii="Verdana" w:hAnsi="Verdana"/>
          <w:sz w:val="28"/>
          <w:szCs w:val="28"/>
        </w:rPr>
        <w:t>v</w:t>
      </w:r>
      <w:r>
        <w:rPr>
          <w:rFonts w:ascii="Verdana" w:hAnsi="Verdana"/>
          <w:sz w:val="28"/>
          <w:szCs w:val="28"/>
        </w:rPr>
        <w:t xml:space="preserve">ision and </w:t>
      </w:r>
      <w:r w:rsidR="00510897">
        <w:rPr>
          <w:rFonts w:ascii="Verdana" w:hAnsi="Verdana"/>
          <w:sz w:val="28"/>
          <w:szCs w:val="28"/>
        </w:rPr>
        <w:t>h</w:t>
      </w:r>
      <w:r>
        <w:rPr>
          <w:rFonts w:ascii="Verdana" w:hAnsi="Verdana"/>
          <w:sz w:val="28"/>
          <w:szCs w:val="28"/>
        </w:rPr>
        <w:t xml:space="preserve">earing disabilities, as well as consumers under age 24 and people who identify as Asian. </w:t>
      </w:r>
    </w:p>
    <w:p w14:paraId="07AFD541" w14:textId="77933F0B" w:rsidR="00713E9F" w:rsidRDefault="00713E9F" w:rsidP="00713E9F">
      <w:pPr>
        <w:pStyle w:val="ListParagraph"/>
        <w:numPr>
          <w:ilvl w:val="1"/>
          <w:numId w:val="2"/>
        </w:numPr>
        <w:rPr>
          <w:rFonts w:ascii="Verdana" w:hAnsi="Verdana"/>
          <w:sz w:val="28"/>
          <w:szCs w:val="28"/>
        </w:rPr>
      </w:pPr>
      <w:r>
        <w:rPr>
          <w:rFonts w:ascii="Verdana" w:hAnsi="Verdana"/>
          <w:sz w:val="28"/>
          <w:szCs w:val="28"/>
        </w:rPr>
        <w:t xml:space="preserve">The </w:t>
      </w:r>
      <w:r w:rsidR="00510897">
        <w:rPr>
          <w:rFonts w:ascii="Verdana" w:hAnsi="Verdana"/>
          <w:sz w:val="28"/>
          <w:szCs w:val="28"/>
        </w:rPr>
        <w:t>state IL Network in collaboration</w:t>
      </w:r>
      <w:r>
        <w:rPr>
          <w:rFonts w:ascii="Verdana" w:hAnsi="Verdana"/>
          <w:sz w:val="28"/>
          <w:szCs w:val="28"/>
        </w:rPr>
        <w:t xml:space="preserve"> might choose to utilize funds remaining from last year’s grant for outreach per the current SPIL.</w:t>
      </w:r>
    </w:p>
    <w:p w14:paraId="6CF1A5BD" w14:textId="49E34A79" w:rsidR="00EC5F97" w:rsidRPr="00EC5F97" w:rsidRDefault="00EC5F97" w:rsidP="005A598D">
      <w:pPr>
        <w:pStyle w:val="ListParagraph"/>
        <w:numPr>
          <w:ilvl w:val="1"/>
          <w:numId w:val="2"/>
        </w:numPr>
      </w:pPr>
      <w:r w:rsidRPr="00EC5F97">
        <w:rPr>
          <w:rFonts w:ascii="Verdana" w:hAnsi="Verdana"/>
          <w:sz w:val="28"/>
          <w:szCs w:val="28"/>
        </w:rPr>
        <w:t>Individual ILCs do their own outreach, but CA is lacking in materials about Independent Living which might be used not just by ILCs, but also by SILC</w:t>
      </w:r>
      <w:r>
        <w:rPr>
          <w:rFonts w:ascii="Verdana" w:hAnsi="Verdana"/>
          <w:sz w:val="28"/>
          <w:szCs w:val="28"/>
        </w:rPr>
        <w:t>, Partners</w:t>
      </w:r>
      <w:r w:rsidR="00510897">
        <w:rPr>
          <w:rFonts w:ascii="Verdana" w:hAnsi="Verdana"/>
          <w:sz w:val="28"/>
          <w:szCs w:val="28"/>
        </w:rPr>
        <w:t>,</w:t>
      </w:r>
      <w:r w:rsidRPr="00EC5F97">
        <w:rPr>
          <w:rFonts w:ascii="Verdana" w:hAnsi="Verdana"/>
          <w:sz w:val="28"/>
          <w:szCs w:val="28"/>
        </w:rPr>
        <w:t xml:space="preserve"> and stakeholders</w:t>
      </w:r>
      <w:r w:rsidR="00510897">
        <w:rPr>
          <w:rFonts w:ascii="Verdana" w:hAnsi="Verdana"/>
          <w:sz w:val="28"/>
          <w:szCs w:val="28"/>
        </w:rPr>
        <w:t>:</w:t>
      </w:r>
    </w:p>
    <w:p w14:paraId="2BA66AEC" w14:textId="77777777" w:rsidR="00EC5F97" w:rsidRPr="00EC5F97" w:rsidRDefault="00EC5F97" w:rsidP="00EC5F97">
      <w:pPr>
        <w:pStyle w:val="ListParagraph"/>
        <w:numPr>
          <w:ilvl w:val="2"/>
          <w:numId w:val="2"/>
        </w:numPr>
      </w:pPr>
      <w:r>
        <w:rPr>
          <w:rFonts w:ascii="Verdana" w:hAnsi="Verdana"/>
          <w:sz w:val="28"/>
          <w:szCs w:val="28"/>
        </w:rPr>
        <w:t>Could be used to educate about IL services;</w:t>
      </w:r>
    </w:p>
    <w:p w14:paraId="7359FE15" w14:textId="77777777" w:rsidR="00EC5F97" w:rsidRPr="00EC5F97" w:rsidRDefault="00EC5F97" w:rsidP="00EC5F97">
      <w:pPr>
        <w:pStyle w:val="ListParagraph"/>
        <w:numPr>
          <w:ilvl w:val="2"/>
          <w:numId w:val="2"/>
        </w:numPr>
      </w:pPr>
      <w:r>
        <w:rPr>
          <w:rFonts w:ascii="Verdana" w:hAnsi="Verdana"/>
          <w:sz w:val="28"/>
          <w:szCs w:val="28"/>
        </w:rPr>
        <w:t>To advertise to specific demographics;</w:t>
      </w:r>
    </w:p>
    <w:p w14:paraId="620CFACE" w14:textId="3B7E191A" w:rsidR="00EC5F97" w:rsidRPr="00EC5F97" w:rsidRDefault="00EC5F97" w:rsidP="00EC5F97">
      <w:pPr>
        <w:pStyle w:val="ListParagraph"/>
        <w:numPr>
          <w:ilvl w:val="2"/>
          <w:numId w:val="2"/>
        </w:numPr>
      </w:pPr>
      <w:r>
        <w:rPr>
          <w:rFonts w:ascii="Verdana" w:hAnsi="Verdana"/>
          <w:sz w:val="28"/>
          <w:szCs w:val="28"/>
        </w:rPr>
        <w:t>To promote services statewide;</w:t>
      </w:r>
      <w:r w:rsidR="00510897">
        <w:rPr>
          <w:rFonts w:ascii="Verdana" w:hAnsi="Verdana"/>
          <w:sz w:val="28"/>
          <w:szCs w:val="28"/>
        </w:rPr>
        <w:t xml:space="preserve"> and</w:t>
      </w:r>
    </w:p>
    <w:p w14:paraId="530CD85A" w14:textId="3B336DE7" w:rsidR="00E25FA0" w:rsidRPr="00E25FA0" w:rsidRDefault="00EC5F97" w:rsidP="00EC5F97">
      <w:pPr>
        <w:pStyle w:val="ListParagraph"/>
        <w:numPr>
          <w:ilvl w:val="2"/>
          <w:numId w:val="2"/>
        </w:numPr>
      </w:pPr>
      <w:r>
        <w:rPr>
          <w:rFonts w:ascii="Verdana" w:hAnsi="Verdana"/>
          <w:sz w:val="28"/>
          <w:szCs w:val="28"/>
        </w:rPr>
        <w:t xml:space="preserve">To educate for future funding to IL Network. </w:t>
      </w:r>
    </w:p>
    <w:sectPr w:rsidR="00E25FA0" w:rsidRPr="00E25F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319C" w14:textId="77777777" w:rsidR="00BF3FC7" w:rsidRDefault="00BF3FC7" w:rsidP="001E5A21">
      <w:pPr>
        <w:spacing w:after="0" w:line="240" w:lineRule="auto"/>
      </w:pPr>
      <w:r>
        <w:separator/>
      </w:r>
    </w:p>
  </w:endnote>
  <w:endnote w:type="continuationSeparator" w:id="0">
    <w:p w14:paraId="25653316" w14:textId="77777777" w:rsidR="00BF3FC7" w:rsidRDefault="00BF3FC7" w:rsidP="001E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2BC4" w14:textId="77777777" w:rsidR="00BF3FC7" w:rsidRDefault="00BF3FC7" w:rsidP="001E5A21">
      <w:pPr>
        <w:spacing w:after="0" w:line="240" w:lineRule="auto"/>
      </w:pPr>
      <w:r>
        <w:separator/>
      </w:r>
    </w:p>
  </w:footnote>
  <w:footnote w:type="continuationSeparator" w:id="0">
    <w:p w14:paraId="76F7FA38" w14:textId="77777777" w:rsidR="00BF3FC7" w:rsidRDefault="00BF3FC7" w:rsidP="001E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A0BDAC1" w14:textId="77777777" w:rsidR="001E5A21" w:rsidRDefault="001E5A2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36980AB" w14:textId="77777777" w:rsidR="001E5A21" w:rsidRDefault="001E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67533"/>
    <w:multiLevelType w:val="hybridMultilevel"/>
    <w:tmpl w:val="FA9E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C3AB3"/>
    <w:multiLevelType w:val="hybridMultilevel"/>
    <w:tmpl w:val="583C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C"/>
    <w:rsid w:val="000107E2"/>
    <w:rsid w:val="000814AB"/>
    <w:rsid w:val="000D3D4F"/>
    <w:rsid w:val="00107CA4"/>
    <w:rsid w:val="0011068A"/>
    <w:rsid w:val="001A468E"/>
    <w:rsid w:val="001E2184"/>
    <w:rsid w:val="001E2A42"/>
    <w:rsid w:val="001E5A21"/>
    <w:rsid w:val="00206E7E"/>
    <w:rsid w:val="002B21F2"/>
    <w:rsid w:val="002C494F"/>
    <w:rsid w:val="00306363"/>
    <w:rsid w:val="00332E19"/>
    <w:rsid w:val="00370EDD"/>
    <w:rsid w:val="003A2B54"/>
    <w:rsid w:val="0043721E"/>
    <w:rsid w:val="004C4FF8"/>
    <w:rsid w:val="004D726A"/>
    <w:rsid w:val="004E4A0C"/>
    <w:rsid w:val="004F22C6"/>
    <w:rsid w:val="00510897"/>
    <w:rsid w:val="005532D2"/>
    <w:rsid w:val="006223D7"/>
    <w:rsid w:val="00654BFD"/>
    <w:rsid w:val="006776D8"/>
    <w:rsid w:val="007013CF"/>
    <w:rsid w:val="00705FBC"/>
    <w:rsid w:val="00713E9F"/>
    <w:rsid w:val="00813C6C"/>
    <w:rsid w:val="00845845"/>
    <w:rsid w:val="00855E65"/>
    <w:rsid w:val="00867E42"/>
    <w:rsid w:val="009172B8"/>
    <w:rsid w:val="00957B31"/>
    <w:rsid w:val="009614EA"/>
    <w:rsid w:val="009647A6"/>
    <w:rsid w:val="00A04930"/>
    <w:rsid w:val="00A54C98"/>
    <w:rsid w:val="00A85E02"/>
    <w:rsid w:val="00AE1A54"/>
    <w:rsid w:val="00BF3FC7"/>
    <w:rsid w:val="00C6491C"/>
    <w:rsid w:val="00CC3968"/>
    <w:rsid w:val="00CF2165"/>
    <w:rsid w:val="00DA2B08"/>
    <w:rsid w:val="00E25FA0"/>
    <w:rsid w:val="00EC5F97"/>
    <w:rsid w:val="00F0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641F"/>
  <w15:chartTrackingRefBased/>
  <w15:docId w15:val="{F8221533-F7F2-42B6-91BC-E41924E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068A"/>
    <w:pPr>
      <w:ind w:left="720"/>
      <w:contextualSpacing/>
    </w:pPr>
  </w:style>
  <w:style w:type="paragraph" w:styleId="NormalWeb">
    <w:name w:val="Normal (Web)"/>
    <w:basedOn w:val="Normal"/>
    <w:uiPriority w:val="99"/>
    <w:unhideWhenUsed/>
    <w:rsid w:val="00010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21"/>
  </w:style>
  <w:style w:type="paragraph" w:styleId="Footer">
    <w:name w:val="footer"/>
    <w:basedOn w:val="Normal"/>
    <w:link w:val="FooterChar"/>
    <w:uiPriority w:val="99"/>
    <w:unhideWhenUsed/>
    <w:rsid w:val="001E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898">
      <w:bodyDiv w:val="1"/>
      <w:marLeft w:val="0"/>
      <w:marRight w:val="0"/>
      <w:marTop w:val="0"/>
      <w:marBottom w:val="0"/>
      <w:divBdr>
        <w:top w:val="none" w:sz="0" w:space="0" w:color="auto"/>
        <w:left w:val="none" w:sz="0" w:space="0" w:color="auto"/>
        <w:bottom w:val="none" w:sz="0" w:space="0" w:color="auto"/>
        <w:right w:val="none" w:sz="0" w:space="0" w:color="auto"/>
      </w:divBdr>
    </w:div>
    <w:div w:id="575944141">
      <w:bodyDiv w:val="1"/>
      <w:marLeft w:val="0"/>
      <w:marRight w:val="0"/>
      <w:marTop w:val="0"/>
      <w:marBottom w:val="0"/>
      <w:divBdr>
        <w:top w:val="none" w:sz="0" w:space="0" w:color="auto"/>
        <w:left w:val="none" w:sz="0" w:space="0" w:color="auto"/>
        <w:bottom w:val="none" w:sz="0" w:space="0" w:color="auto"/>
        <w:right w:val="none" w:sz="0" w:space="0" w:color="auto"/>
      </w:divBdr>
    </w:div>
    <w:div w:id="861667637">
      <w:bodyDiv w:val="1"/>
      <w:marLeft w:val="0"/>
      <w:marRight w:val="0"/>
      <w:marTop w:val="0"/>
      <w:marBottom w:val="0"/>
      <w:divBdr>
        <w:top w:val="none" w:sz="0" w:space="0" w:color="auto"/>
        <w:left w:val="none" w:sz="0" w:space="0" w:color="auto"/>
        <w:bottom w:val="none" w:sz="0" w:space="0" w:color="auto"/>
        <w:right w:val="none" w:sz="0" w:space="0" w:color="auto"/>
      </w:divBdr>
    </w:div>
    <w:div w:id="1612198528">
      <w:bodyDiv w:val="1"/>
      <w:marLeft w:val="0"/>
      <w:marRight w:val="0"/>
      <w:marTop w:val="0"/>
      <w:marBottom w:val="0"/>
      <w:divBdr>
        <w:top w:val="none" w:sz="0" w:space="0" w:color="auto"/>
        <w:left w:val="none" w:sz="0" w:space="0" w:color="auto"/>
        <w:bottom w:val="none" w:sz="0" w:space="0" w:color="auto"/>
        <w:right w:val="none" w:sz="0" w:space="0" w:color="auto"/>
      </w:divBdr>
    </w:div>
    <w:div w:id="1913544273">
      <w:bodyDiv w:val="1"/>
      <w:marLeft w:val="0"/>
      <w:marRight w:val="0"/>
      <w:marTop w:val="0"/>
      <w:marBottom w:val="0"/>
      <w:divBdr>
        <w:top w:val="none" w:sz="0" w:space="0" w:color="auto"/>
        <w:left w:val="none" w:sz="0" w:space="0" w:color="auto"/>
        <w:bottom w:val="none" w:sz="0" w:space="0" w:color="auto"/>
        <w:right w:val="none" w:sz="0" w:space="0" w:color="auto"/>
      </w:divBdr>
    </w:div>
    <w:div w:id="19298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6C98-E45A-470D-A586-DD9EACBA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18</cp:revision>
  <dcterms:created xsi:type="dcterms:W3CDTF">2021-06-03T17:58:00Z</dcterms:created>
  <dcterms:modified xsi:type="dcterms:W3CDTF">2021-06-15T20:37:00Z</dcterms:modified>
</cp:coreProperties>
</file>